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  <w:t>Oracle的物理体系结构</w:t>
      </w:r>
    </w:p>
    <w:p>
      <w:pPr>
        <w:jc w:val="center"/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eastAsia="zh-CN"/>
        </w:rPr>
        <w:t>表格从常见的</w:t>
      </w:r>
      <w:r>
        <w:rPr>
          <w:rFonts w:hint="eastAsia" w:ascii="幼圆" w:hAnsi="幼圆" w:eastAsia="幼圆" w:cs="幼圆"/>
          <w:b/>
          <w:bCs/>
          <w:lang w:val="en-US" w:eastAsia="zh-CN"/>
        </w:rPr>
        <w:t>SQL语句的请求反馈</w:t>
      </w:r>
      <w:r>
        <w:rPr>
          <w:rFonts w:hint="eastAsia" w:ascii="幼圆" w:hAnsi="幼圆" w:eastAsia="幼圆" w:cs="幼圆"/>
          <w:b w:val="0"/>
          <w:bCs w:val="0"/>
          <w:lang w:val="en-US" w:eastAsia="zh-CN"/>
        </w:rPr>
        <w:t>来描述Oracle的物理结构。</w:t>
      </w: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先说明以下缩写：</w:t>
      </w: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PGA：Program Global Area，私有内存区</w:t>
      </w: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SGA：System Global Area，公共共享内存区</w:t>
      </w:r>
    </w:p>
    <w:tbl>
      <w:tblPr>
        <w:tblStyle w:val="4"/>
        <w:tblpPr w:leftFromText="180" w:rightFromText="180" w:vertAnchor="page" w:horzAnchor="page" w:tblpX="1934" w:tblpY="4297"/>
        <w:tblOverlap w:val="never"/>
        <w:tblW w:w="7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3171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575" w:type="dxa"/>
            <w:gridSpan w:val="3"/>
            <w:vAlign w:val="top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sz w:val="28"/>
                <w:szCs w:val="36"/>
                <w:vertAlign w:val="baseline"/>
                <w:lang w:val="en-US" w:eastAsia="zh-CN"/>
              </w:rPr>
              <w:t>用户对数据库的请求反馈路径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67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PGA私有内存区</w:t>
            </w:r>
          </w:p>
        </w:tc>
        <w:tc>
          <w:tcPr>
            <w:tcW w:w="3171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①保存用户的连接信息、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②保存用户的权限信息、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③对发起的指令进行排序、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</w:p>
        </w:tc>
        <w:tc>
          <w:tcPr>
            <w:tcW w:w="1727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路径起始点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67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SGA共享内存区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tbl>
            <w:tblPr>
              <w:tblStyle w:val="4"/>
              <w:tblW w:w="1905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9"/>
              <w:gridCol w:w="698"/>
              <w:gridCol w:w="7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8" w:hRule="atLeast"/>
                <w:jc w:val="center"/>
              </w:trPr>
              <w:tc>
                <w:tcPr>
                  <w:tcW w:w="499" w:type="dxa"/>
                </w:tcPr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共享池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①②</w:t>
                  </w:r>
                </w:p>
              </w:tc>
              <w:tc>
                <w:tcPr>
                  <w:tcW w:w="698" w:type="dxa"/>
                </w:tcPr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数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据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缓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冲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区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CKPT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DBWR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③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④</w:t>
                  </w:r>
                </w:p>
              </w:tc>
              <w:tc>
                <w:tcPr>
                  <w:tcW w:w="708" w:type="dxa"/>
                </w:tcPr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日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志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缓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冲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区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LGWR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⑤</w:t>
                  </w:r>
                  <w:bookmarkStart w:id="0" w:name="_GoBack"/>
                  <w:bookmarkEnd w:id="0"/>
                </w:p>
              </w:tc>
            </w:tr>
          </w:tbl>
          <w:p>
            <w:pPr>
              <w:jc w:val="both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①是否存在该指令的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Hash值：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若存在，可直接进行下一步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若不存在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Hash值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，需检查语句语法、语义、权限，生成相应的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Hash值；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②解析语句：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选择更为高效的方式（索引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or全表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）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进行查询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③读取数据：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缓冲区若没有数据，需要从磁盘获取数据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Select终点②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677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Database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tbl>
            <w:tblPr>
              <w:tblStyle w:val="4"/>
              <w:tblW w:w="2349" w:type="dxa"/>
              <w:jc w:val="center"/>
              <w:tblInd w:w="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05"/>
              <w:gridCol w:w="12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5" w:type="dxa"/>
                </w:tcPr>
                <w:p>
                  <w:pP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数据文件</w:t>
                  </w:r>
                </w:p>
              </w:tc>
              <w:tc>
                <w:tcPr>
                  <w:tcW w:w="1244" w:type="dxa"/>
                </w:tcPr>
                <w:p>
                  <w:pP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日志文件</w:t>
                  </w:r>
                </w:p>
                <w:p>
                  <w:pP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ARCH</w:t>
                  </w:r>
                </w:p>
              </w:tc>
            </w:tr>
          </w:tbl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④写数据：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由进程CKPT触发进程DBWR将数据从数据缓冲区写入数据文件</w:t>
            </w:r>
          </w:p>
          <w:p>
            <w:pPr>
              <w:rPr>
                <w:b/>
                <w:bCs/>
                <w:vertAlign w:val="baseline"/>
              </w:rPr>
            </w:pP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⑤记录日志：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（所有语句的必走路径）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由进程LGWR将数据库的操作从日志缓冲区写入日志文件；</w:t>
            </w:r>
          </w:p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当日志文件写满时，需要把已存在的日志文件移动到ARCH归档，再写入新的日志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Update终点④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b/>
                <w:bCs/>
                <w:vertAlign w:val="baseline"/>
              </w:rPr>
            </w:pPr>
          </w:p>
        </w:tc>
      </w:tr>
    </w:tbl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DB：Database，数据库</w:t>
      </w: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r>
        <w:rPr>
          <w:rFonts w:hint="eastAsia" w:ascii="幼圆" w:hAnsi="幼圆" w:eastAsia="幼圆" w:cs="幼圆"/>
          <w:b/>
          <w:bCs/>
          <w:lang w:val="en-US" w:eastAsia="zh-CN"/>
        </w:rPr>
        <w:t>对比Oracle，Jsp和类的设计：</w:t>
      </w:r>
    </w:p>
    <w:tbl>
      <w:tblPr>
        <w:tblStyle w:val="4"/>
        <w:tblpPr w:leftFromText="180" w:rightFromText="180" w:vertAnchor="text" w:horzAnchor="page" w:tblpXSpec="center" w:tblpY="31"/>
        <w:tblOverlap w:val="never"/>
        <w:tblW w:w="61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493"/>
        <w:gridCol w:w="169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lang w:val="en-US" w:eastAsia="zh-CN"/>
              </w:rPr>
              <w:t>Oracle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Jsp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类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PGA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Session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private/public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SGA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Application/Contect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static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Database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/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09" w:type="dxa"/>
            <w:gridSpan w:val="4"/>
          </w:tcPr>
          <w:p>
            <w:pPr>
              <w:jc w:val="center"/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PGA：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仅供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当前发起用户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使用的私有内存空间</w:t>
            </w:r>
          </w:p>
          <w:p>
            <w:pPr>
              <w:ind w:firstLine="843" w:firstLineChars="400"/>
              <w:jc w:val="both"/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Session：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仅供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当前窗口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使用的私有内存空间</w:t>
            </w:r>
          </w:p>
          <w:p>
            <w:pPr>
              <w:ind w:firstLine="843" w:firstLineChars="400"/>
              <w:jc w:val="both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Private/public：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仅为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当前成员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特有的变量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09" w:type="dxa"/>
            <w:gridSpan w:val="4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SGA：公共共享内存区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 xml:space="preserve">    Context：服务共享内存区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 xml:space="preserve">     Static：成员间共享的变量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431"/>
    <w:rsid w:val="0139629B"/>
    <w:rsid w:val="086F21E2"/>
    <w:rsid w:val="0B7F4D61"/>
    <w:rsid w:val="10E37800"/>
    <w:rsid w:val="19807C12"/>
    <w:rsid w:val="1B8547F5"/>
    <w:rsid w:val="21B2079D"/>
    <w:rsid w:val="2646692E"/>
    <w:rsid w:val="28C57508"/>
    <w:rsid w:val="28C744CD"/>
    <w:rsid w:val="2B455D96"/>
    <w:rsid w:val="2CEA479C"/>
    <w:rsid w:val="30960BE1"/>
    <w:rsid w:val="324F5C40"/>
    <w:rsid w:val="330E51A7"/>
    <w:rsid w:val="33150FB5"/>
    <w:rsid w:val="3A9E1152"/>
    <w:rsid w:val="3DCB5667"/>
    <w:rsid w:val="41BD3609"/>
    <w:rsid w:val="42CB02BD"/>
    <w:rsid w:val="4E8F48AC"/>
    <w:rsid w:val="50006676"/>
    <w:rsid w:val="53576BF7"/>
    <w:rsid w:val="55B70E45"/>
    <w:rsid w:val="57BE60E1"/>
    <w:rsid w:val="65AC66D7"/>
    <w:rsid w:val="67851C57"/>
    <w:rsid w:val="6A890E26"/>
    <w:rsid w:val="6CEE77C2"/>
    <w:rsid w:val="6DC34689"/>
    <w:rsid w:val="70BB4385"/>
    <w:rsid w:val="760C7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J1386932475</cp:lastModifiedBy>
  <dcterms:modified xsi:type="dcterms:W3CDTF">2018-05-29T13:58:45Z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