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56.0" w:type="dxa"/>
        <w:jc w:val="center"/>
        <w:tblLayout w:type="fixed"/>
        <w:tblLook w:val="0400"/>
      </w:tblPr>
      <w:tblGrid>
        <w:gridCol w:w="6204"/>
        <w:gridCol w:w="4452"/>
        <w:tblGridChange w:id="0">
          <w:tblGrid>
            <w:gridCol w:w="6204"/>
            <w:gridCol w:w="4452"/>
          </w:tblGrid>
        </w:tblGridChange>
      </w:tblGrid>
      <w:tr>
        <w:tc>
          <w:tcPr>
            <w:tcBorders>
              <w:right w:color="ffd556" w:space="0" w:sz="12" w:val="single"/>
            </w:tcBorders>
            <w:tcMar>
              <w:right w:w="0.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189.0" w:type="dxa"/>
              <w:jc w:val="left"/>
              <w:tblInd w:w="29.0" w:type="dxa"/>
              <w:tblBorders>
                <w:insideH w:color="000000" w:space="0" w:sz="8" w:val="single"/>
                <w:insideV w:color="000000" w:space="0" w:sz="8" w:val="single"/>
              </w:tblBorders>
              <w:tblLayout w:type="fixed"/>
              <w:tblLook w:val="0400"/>
            </w:tblPr>
            <w:tblGrid>
              <w:gridCol w:w="6189"/>
              <w:tblGridChange w:id="0">
                <w:tblGrid>
                  <w:gridCol w:w="6189"/>
                </w:tblGrid>
              </w:tblGridChange>
            </w:tblGrid>
            <w:tr>
              <w:trPr>
                <w:trHeight w:val="2520" w:hRule="atLeast"/>
              </w:trPr>
              <w:tc>
                <w:tcPr>
                  <w:tcBorders>
                    <w:bottom w:color="ffd556" w:space="0" w:sz="12" w:val="single"/>
                  </w:tcBorders>
                  <w:tcMar>
                    <w:top w:w="0.0" w:type="dxa"/>
                  </w:tcMar>
                </w:tcPr>
                <w:p w:rsidR="00000000" w:rsidDel="00000000" w:rsidP="00000000" w:rsidRDefault="00000000" w:rsidRPr="00000000" w14:paraId="00000003">
                  <w:pPr>
                    <w:pStyle w:val="Heading1"/>
                    <w:rPr/>
                  </w:pPr>
                  <w:r w:rsidDel="00000000" w:rsidR="00000000" w:rsidRPr="00000000">
                    <w:rPr>
                      <w:rtl w:val="0"/>
                    </w:rPr>
                    <w:t xml:space="preserve">NFT</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{{NFT_ITEM}}</w:t>
                  </w:r>
                </w:p>
              </w:tc>
            </w:tr>
            <w:tr>
              <w:trPr>
                <w:trHeight w:val="7680" w:hRule="atLeast"/>
              </w:trPr>
              <w:tc>
                <w:tcPr>
                  <w:tcBorders>
                    <w:top w:color="ffd556" w:space="0" w:sz="12" w:val="single"/>
                    <w:left w:color="ffd556" w:space="0" w:sz="12" w:val="single"/>
                    <w:bottom w:color="ffd556" w:space="0" w:sz="12" w:val="single"/>
                    <w:right w:color="000000" w:space="0" w:sz="0" w:val="nil"/>
                  </w:tcBorders>
                  <w:tcMar>
                    <w:top w:w="0.0" w:type="dxa"/>
                  </w:tcMar>
                </w:tcPr>
                <w:p w:rsidR="00000000" w:rsidDel="00000000" w:rsidP="00000000" w:rsidRDefault="00000000" w:rsidRPr="00000000" w14:paraId="00000006">
                  <w:pPr>
                    <w:pStyle w:val="Heading1"/>
                    <w:rPr/>
                  </w:pPr>
                  <w:r w:rsidDel="00000000" w:rsidR="00000000" w:rsidRPr="00000000">
                    <w:rPr>
                      <w:rtl w:val="0"/>
                    </w:rPr>
                    <w:t xml:space="preserve">Details</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Composition</w:t>
                  </w:r>
                </w:p>
                <w:p w:rsidR="00000000" w:rsidDel="00000000" w:rsidP="00000000" w:rsidRDefault="00000000" w:rsidRPr="00000000" w14:paraId="00000009">
                  <w:pPr>
                    <w:rPr/>
                  </w:pPr>
                  <w:r w:rsidDel="00000000" w:rsidR="00000000" w:rsidRPr="00000000">
                    <w:rPr>
                      <w:rtl w:val="0"/>
                    </w:rPr>
                    <w:t xml:space="preserve">{{COMPOSITION}} ({{RELEASE_DATE}})</w:t>
                  </w:r>
                </w:p>
                <w:p w:rsidR="00000000" w:rsidDel="00000000" w:rsidP="00000000" w:rsidRDefault="00000000" w:rsidRPr="00000000" w14:paraId="0000000A">
                  <w:pPr>
                    <w:pStyle w:val="Heading2"/>
                    <w:rPr/>
                  </w:pPr>
                  <w:r w:rsidDel="00000000" w:rsidR="00000000" w:rsidRPr="00000000">
                    <w:rPr>
                      <w:rtl w:val="0"/>
                    </w:rPr>
                    <w:t xml:space="preserve">Date</w:t>
                  </w:r>
                </w:p>
                <w:p w:rsidR="00000000" w:rsidDel="00000000" w:rsidP="00000000" w:rsidRDefault="00000000" w:rsidRPr="00000000" w14:paraId="0000000B">
                  <w:pPr>
                    <w:rPr/>
                  </w:pPr>
                  <w:r w:rsidDel="00000000" w:rsidR="00000000" w:rsidRPr="00000000">
                    <w:rPr>
                      <w:rtl w:val="0"/>
                    </w:rPr>
                    <w:t xml:space="preserve">Perpetuity, given NFT ownership</w:t>
                  </w:r>
                </w:p>
                <w:p w:rsidR="00000000" w:rsidDel="00000000" w:rsidP="00000000" w:rsidRDefault="00000000" w:rsidRPr="00000000" w14:paraId="0000000C">
                  <w:pPr>
                    <w:pStyle w:val="Heading2"/>
                    <w:rPr/>
                  </w:pPr>
                  <w:bookmarkStart w:colFirst="0" w:colLast="0" w:name="_3xefmmo5rgk3" w:id="0"/>
                  <w:bookmarkEnd w:id="0"/>
                  <w:r w:rsidDel="00000000" w:rsidR="00000000" w:rsidRPr="00000000">
                    <w:rPr>
                      <w:rtl w:val="0"/>
                    </w:rPr>
                    <w:t xml:space="preserve">Territory</w:t>
                  </w:r>
                </w:p>
                <w:p w:rsidR="00000000" w:rsidDel="00000000" w:rsidP="00000000" w:rsidRDefault="00000000" w:rsidRPr="00000000" w14:paraId="0000000D">
                  <w:pPr>
                    <w:rPr/>
                  </w:pPr>
                  <w:r w:rsidDel="00000000" w:rsidR="00000000" w:rsidRPr="00000000">
                    <w:rPr>
                      <w:rtl w:val="0"/>
                    </w:rPr>
                    <w:t xml:space="preserve">Worldwide</w:t>
                  </w:r>
                </w:p>
                <w:p w:rsidR="00000000" w:rsidDel="00000000" w:rsidP="00000000" w:rsidRDefault="00000000" w:rsidRPr="00000000" w14:paraId="0000000E">
                  <w:pPr>
                    <w:pStyle w:val="Heading2"/>
                    <w:rPr/>
                  </w:pPr>
                  <w:bookmarkStart w:colFirst="0" w:colLast="0" w:name="_dmw4e76aky5o" w:id="1"/>
                  <w:bookmarkEnd w:id="1"/>
                  <w:r w:rsidDel="00000000" w:rsidR="00000000" w:rsidRPr="00000000">
                    <w:rPr>
                      <w:rtl w:val="0"/>
                    </w:rPr>
                    <w:t xml:space="preserve">Use</w:t>
                  </w:r>
                </w:p>
                <w:p w:rsidR="00000000" w:rsidDel="00000000" w:rsidP="00000000" w:rsidRDefault="00000000" w:rsidRPr="00000000" w14:paraId="0000000F">
                  <w:pPr>
                    <w:rPr/>
                  </w:pPr>
                  <w:r w:rsidDel="00000000" w:rsidR="00000000" w:rsidRPr="00000000">
                    <w:rPr>
                      <w:rtl w:val="0"/>
                    </w:rPr>
                    <w:t xml:space="preserve">Master &amp; Sync</w:t>
                  </w:r>
                </w:p>
                <w:p w:rsidR="00000000" w:rsidDel="00000000" w:rsidP="00000000" w:rsidRDefault="00000000" w:rsidRPr="00000000" w14:paraId="00000010">
                  <w:pPr>
                    <w:pStyle w:val="Heading2"/>
                    <w:rPr/>
                  </w:pPr>
                  <w:bookmarkStart w:colFirst="0" w:colLast="0" w:name="_a3cfznrti1jr" w:id="2"/>
                  <w:bookmarkEnd w:id="2"/>
                  <w:r w:rsidDel="00000000" w:rsidR="00000000" w:rsidRPr="00000000">
                    <w:rPr>
                      <w:rtl w:val="0"/>
                    </w:rPr>
                    <w:t xml:space="preserve">Fee</w:t>
                  </w:r>
                </w:p>
                <w:p w:rsidR="00000000" w:rsidDel="00000000" w:rsidP="00000000" w:rsidRDefault="00000000" w:rsidRPr="00000000" w14:paraId="00000011">
                  <w:pPr>
                    <w:rPr/>
                  </w:pPr>
                  <w:r w:rsidDel="00000000" w:rsidR="00000000" w:rsidRPr="00000000">
                    <w:rPr>
                      <w:rtl w:val="0"/>
                    </w:rPr>
                    <w:t xml:space="preserve">0</w:t>
                  </w:r>
                </w:p>
                <w:p w:rsidR="00000000" w:rsidDel="00000000" w:rsidP="00000000" w:rsidRDefault="00000000" w:rsidRPr="00000000" w14:paraId="00000012">
                  <w:pPr>
                    <w:pStyle w:val="Heading2"/>
                    <w:rPr/>
                  </w:pPr>
                  <w:bookmarkStart w:colFirst="0" w:colLast="0" w:name="_h2z3ogbimc6z" w:id="3"/>
                  <w:bookmarkEnd w:id="3"/>
                  <w:r w:rsidDel="00000000" w:rsidR="00000000" w:rsidRPr="00000000">
                    <w:rPr>
                      <w:rtl w:val="0"/>
                    </w:rPr>
                    <w:t xml:space="preserve">Exclusivity</w:t>
                  </w:r>
                </w:p>
                <w:p w:rsidR="00000000" w:rsidDel="00000000" w:rsidP="00000000" w:rsidRDefault="00000000" w:rsidRPr="00000000" w14:paraId="00000013">
                  <w:pPr>
                    <w:rPr/>
                  </w:pPr>
                  <w:r w:rsidDel="00000000" w:rsidR="00000000" w:rsidRPr="00000000">
                    <w:rPr>
                      <w:rtl w:val="0"/>
                    </w:rPr>
                    <w:t xml:space="preserve">0</w:t>
                  </w:r>
                </w:p>
                <w:p w:rsidR="00000000" w:rsidDel="00000000" w:rsidP="00000000" w:rsidRDefault="00000000" w:rsidRPr="00000000" w14:paraId="00000014">
                  <w:pPr>
                    <w:pStyle w:val="Heading2"/>
                    <w:rPr/>
                  </w:pPr>
                  <w:bookmarkStart w:colFirst="0" w:colLast="0" w:name="_eb2uhon3dw67" w:id="4"/>
                  <w:bookmarkEnd w:id="4"/>
                  <w:r w:rsidDel="00000000" w:rsidR="00000000" w:rsidRPr="00000000">
                    <w:rPr>
                      <w:rtl w:val="0"/>
                    </w:rPr>
                    <w:t xml:space="preserve">Media</w:t>
                  </w:r>
                </w:p>
                <w:p w:rsidR="00000000" w:rsidDel="00000000" w:rsidP="00000000" w:rsidRDefault="00000000" w:rsidRPr="00000000" w14:paraId="00000015">
                  <w:pPr>
                    <w:rPr/>
                  </w:pPr>
                  <w:r w:rsidDel="00000000" w:rsidR="00000000" w:rsidRPr="00000000">
                    <w:rPr>
                      <w:rtl w:val="0"/>
                    </w:rPr>
                    <w:t xml:space="preserve">All</w:t>
                  </w:r>
                </w:p>
                <w:p w:rsidR="00000000" w:rsidDel="00000000" w:rsidP="00000000" w:rsidRDefault="00000000" w:rsidRPr="00000000" w14:paraId="00000016">
                  <w:pPr>
                    <w:pStyle w:val="Heading2"/>
                    <w:rPr/>
                  </w:pPr>
                  <w:bookmarkStart w:colFirst="0" w:colLast="0" w:name="_ay3vtsywbj5" w:id="5"/>
                  <w:bookmarkEnd w:id="5"/>
                  <w:r w:rsidDel="00000000" w:rsidR="00000000" w:rsidRPr="00000000">
                    <w:rPr>
                      <w:rtl w:val="0"/>
                    </w:rPr>
                    <w:t xml:space="preserve">License type</w:t>
                  </w:r>
                </w:p>
                <w:p w:rsidR="00000000" w:rsidDel="00000000" w:rsidP="00000000" w:rsidRDefault="00000000" w:rsidRPr="00000000" w14:paraId="00000017">
                  <w:pPr>
                    <w:rPr/>
                  </w:pPr>
                  <w:r w:rsidDel="00000000" w:rsidR="00000000" w:rsidRPr="00000000">
                    <w:rPr>
                      <w:rtl w:val="0"/>
                    </w:rPr>
                    <w:t xml:space="preserve">Commercial</w:t>
                  </w:r>
                </w:p>
                <w:p w:rsidR="00000000" w:rsidDel="00000000" w:rsidP="00000000" w:rsidRDefault="00000000" w:rsidRPr="00000000" w14:paraId="00000018">
                  <w:pPr>
                    <w:pStyle w:val="Heading2"/>
                    <w:rPr/>
                  </w:pPr>
                  <w:bookmarkStart w:colFirst="0" w:colLast="0" w:name="_jh6x56b6lnra" w:id="6"/>
                  <w:bookmarkEnd w:id="6"/>
                  <w:r w:rsidDel="00000000" w:rsidR="00000000" w:rsidRPr="00000000">
                    <w:rPr>
                      <w:rtl w:val="0"/>
                    </w:rPr>
                    <w:t xml:space="preserve">Attribution Required</w:t>
                  </w:r>
                </w:p>
                <w:p w:rsidR="00000000" w:rsidDel="00000000" w:rsidP="00000000" w:rsidRDefault="00000000" w:rsidRPr="00000000" w14:paraId="00000019">
                  <w:pPr>
                    <w:rPr/>
                  </w:pPr>
                  <w:r w:rsidDel="00000000" w:rsidR="00000000" w:rsidRPr="00000000">
                    <w:rPr>
                      <w:rtl w:val="0"/>
                    </w:rPr>
                    <w:t xml:space="preserve">No</w:t>
                  </w:r>
                </w:p>
              </w:tc>
            </w:tr>
          </w:tbl>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tc>
        <w:tc>
          <w:tcPr>
            <w:tcBorders>
              <w:left w:color="ffd556" w:space="0" w:sz="12"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395.0" w:type="dxa"/>
              <w:jc w:val="left"/>
              <w:tblLayout w:type="fixed"/>
              <w:tblLook w:val="0400"/>
            </w:tblPr>
            <w:tblGrid>
              <w:gridCol w:w="4395"/>
              <w:tblGridChange w:id="0">
                <w:tblGrid>
                  <w:gridCol w:w="4395"/>
                </w:tblGrid>
              </w:tblGridChange>
            </w:tblGrid>
            <w:tr>
              <w:trPr>
                <w:trHeight w:val="3840" w:hRule="atLeast"/>
              </w:trPr>
              <w:tc>
                <w:tcPr>
                  <w:tcBorders>
                    <w:top w:color="ffd556" w:space="0" w:sz="12" w:val="single"/>
                    <w:bottom w:color="ffd556" w:space="0" w:sz="12" w:val="single"/>
                    <w:right w:color="ffd556" w:space="0" w:sz="12" w:val="single"/>
                  </w:tcBorders>
                  <w:shd w:fill="ffd556" w:val="clear"/>
                  <w:tcMar>
                    <w:top w:w="0.0" w:type="dxa"/>
                  </w:tcMar>
                </w:tcPr>
                <w:p w:rsidR="00000000" w:rsidDel="00000000" w:rsidP="00000000" w:rsidRDefault="00000000" w:rsidRPr="00000000" w14:paraId="0000001D">
                  <w:pPr>
                    <w:pStyle w:val="Heading1"/>
                    <w:rPr/>
                  </w:pPr>
                  <w:r w:rsidDel="00000000" w:rsidR="00000000" w:rsidRPr="00000000">
                    <w:rPr>
                      <w:rtl w:val="0"/>
                    </w:rPr>
                    <w:t xml:space="preserve">Scope</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Access to raw song files</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pStyle w:val="Heading2"/>
                    <w:rPr/>
                  </w:pPr>
                  <w:bookmarkStart w:colFirst="0" w:colLast="0" w:name="_wuuu7htr01qi" w:id="7"/>
                  <w:bookmarkEnd w:id="7"/>
                  <w:r w:rsidDel="00000000" w:rsidR="00000000" w:rsidRPr="00000000">
                    <w:rPr>
                      <w:rtl w:val="0"/>
                    </w:rPr>
                    <w:t xml:space="preserve">Access to voiceless song files</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pStyle w:val="Heading2"/>
                    <w:rPr/>
                  </w:pPr>
                  <w:bookmarkStart w:colFirst="0" w:colLast="0" w:name="_hcm4pdh2a4gy" w:id="8"/>
                  <w:bookmarkEnd w:id="8"/>
                  <w:r w:rsidDel="00000000" w:rsidR="00000000" w:rsidRPr="00000000">
                    <w:rPr>
                      <w:rtl w:val="0"/>
                    </w:rPr>
                    <w:t xml:space="preserve">Access to song stem files</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pStyle w:val="Heading2"/>
                    <w:rPr/>
                  </w:pPr>
                  <w:bookmarkStart w:colFirst="0" w:colLast="0" w:name="_pb4tmnyjyqy" w:id="9"/>
                  <w:bookmarkEnd w:id="9"/>
                  <w:r w:rsidDel="00000000" w:rsidR="00000000" w:rsidRPr="00000000">
                    <w:rPr>
                      <w:rtl w:val="0"/>
                    </w:rPr>
                    <w:t xml:space="preserve">Access to project files</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pStyle w:val="Heading2"/>
                    <w:rPr/>
                  </w:pPr>
                  <w:bookmarkStart w:colFirst="0" w:colLast="0" w:name="_lfqbzjflgiqx" w:id="10"/>
                  <w:bookmarkEnd w:id="10"/>
                  <w:r w:rsidDel="00000000" w:rsidR="00000000" w:rsidRPr="00000000">
                    <w:rPr>
                      <w:rtl w:val="0"/>
                    </w:rPr>
                    <w:t xml:space="preserve">Commercial use</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mheu4khebgk9" w:id="11"/>
                  <w:bookmarkEnd w:id="11"/>
                  <w:r w:rsidDel="00000000" w:rsidR="00000000" w:rsidRPr="00000000">
                    <w:rPr>
                      <w:rtl w:val="0"/>
                    </w:rPr>
                    <w:t xml:space="preserve">Master &amp; Sync</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pStyle w:val="Heading2"/>
                    <w:rPr/>
                  </w:pPr>
                  <w:bookmarkStart w:colFirst="0" w:colLast="0" w:name="_ww38ltqe7xc0" w:id="12"/>
                  <w:bookmarkEnd w:id="12"/>
                  <w:r w:rsidDel="00000000" w:rsidR="00000000" w:rsidRPr="00000000">
                    <w:rPr>
                      <w:rtl w:val="0"/>
                    </w:rPr>
                    <w:t xml:space="preserve">No attribution required</w:t>
                  </w:r>
                </w:p>
              </w:tc>
            </w:tr>
            <w:tr>
              <w:tc>
                <w:tcPr>
                  <w:tcBorders>
                    <w:top w:color="ffd556" w:space="0" w:sz="12" w:val="single"/>
                    <w:bottom w:color="ffd556" w:space="0" w:sz="12" w:val="single"/>
                  </w:tcBorders>
                </w:tcPr>
                <w:p w:rsidR="00000000" w:rsidDel="00000000" w:rsidP="00000000" w:rsidRDefault="00000000" w:rsidRPr="00000000" w14:paraId="0000002C">
                  <w:pPr>
                    <w:rPr/>
                  </w:pPr>
                  <w:r w:rsidDel="00000000" w:rsidR="00000000" w:rsidRPr="00000000">
                    <w:rPr>
                      <w:rtl w:val="0"/>
                    </w:rPr>
                  </w:r>
                </w:p>
              </w:tc>
            </w:tr>
            <w:tr>
              <w:trPr>
                <w:trHeight w:val="3915" w:hRule="atLeast"/>
              </w:trPr>
              <w:tc>
                <w:tcPr>
                  <w:tcBorders>
                    <w:top w:color="ffd556" w:space="0" w:sz="12" w:val="single"/>
                    <w:bottom w:color="ffd556" w:space="0" w:sz="12" w:val="single"/>
                    <w:right w:color="ffd556" w:space="0" w:sz="12" w:val="single"/>
                  </w:tcBorders>
                </w:tcPr>
                <w:p w:rsidR="00000000" w:rsidDel="00000000" w:rsidP="00000000" w:rsidRDefault="00000000" w:rsidRPr="00000000" w14:paraId="0000002D">
                  <w:pPr>
                    <w:pStyle w:val="Heading1"/>
                    <w:rPr/>
                  </w:pPr>
                  <w:bookmarkStart w:colFirst="0" w:colLast="0" w:name="_eb4zsvvuc5y8" w:id="13"/>
                  <w:bookmarkEnd w:id="13"/>
                  <w:r w:rsidDel="00000000" w:rsidR="00000000" w:rsidRPr="00000000">
                    <w:rPr>
                      <w:rtl w:val="0"/>
                    </w:rPr>
                    <w:t xml:space="preserve">Signature</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b w:val="1"/>
                      <w:rtl w:val="0"/>
                    </w:rPr>
                    <w:t xml:space="preserve">{{ENS_NAME}}</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msg: </w:t>
                  </w:r>
                  <w:r w:rsidDel="00000000" w:rsidR="00000000" w:rsidRPr="00000000">
                    <w:rPr>
                      <w:rtl w:val="0"/>
                    </w:rPr>
                    <w:t xml:space="preserve">I approve this document.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{{SIGNATURE_HASH}}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d556"/>
                    </w:rPr>
                  </w:pPr>
                  <w:r w:rsidDel="00000000" w:rsidR="00000000" w:rsidRPr="00000000">
                    <w:rPr>
                      <w:rtl w:val="0"/>
                    </w:rPr>
                    <w:t xml:space="preserve">Verify at </w:t>
                  </w:r>
                  <w:hyperlink r:id="rId6">
                    <w:r w:rsidDel="00000000" w:rsidR="00000000" w:rsidRPr="00000000">
                      <w:rPr>
                        <w:color w:val="ffd556"/>
                        <w:u w:val="single"/>
                        <w:rtl w:val="0"/>
                      </w:rPr>
                      <w:t xml:space="preserve">https://etherscan.io/verifySig</w:t>
                    </w:r>
                  </w:hyperlink>
                  <w:r w:rsidDel="00000000" w:rsidR="00000000" w:rsidRPr="00000000">
                    <w:rPr>
                      <w:rtl w:val="0"/>
                    </w:rPr>
                  </w:r>
                </w:p>
              </w:tc>
            </w:tr>
          </w:tbl>
          <w:p w:rsidR="00000000" w:rsidDel="00000000" w:rsidP="00000000" w:rsidRDefault="00000000" w:rsidRPr="00000000" w14:paraId="00000035">
            <w:pPr>
              <w:jc w:val="left"/>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This NFT Music License (this “Agreement”) is entered into as of {{RELEASE_DATE}} by </w:t>
      </w:r>
      <w:r w:rsidDel="00000000" w:rsidR="00000000" w:rsidRPr="00000000">
        <w:rPr>
          <w:b w:val="1"/>
          <w:color w:val="4a4f4f"/>
          <w:sz w:val="20"/>
          <w:szCs w:val="20"/>
          <w:rtl w:val="0"/>
        </w:rPr>
        <w:t xml:space="preserve">{{NFT_ITEM}}</w:t>
      </w:r>
      <w:r w:rsidDel="00000000" w:rsidR="00000000" w:rsidRPr="00000000">
        <w:rPr>
          <w:b w:val="1"/>
          <w:sz w:val="20"/>
          <w:szCs w:val="20"/>
          <w:rtl w:val="0"/>
        </w:rPr>
        <w:t xml:space="preserve"> NFT Holder</w:t>
      </w:r>
      <w:r w:rsidDel="00000000" w:rsidR="00000000" w:rsidRPr="00000000">
        <w:rPr>
          <w:sz w:val="20"/>
          <w:szCs w:val="20"/>
          <w:rtl w:val="0"/>
        </w:rPr>
        <w:t xml:space="preserve"> (the “Licensee”), and by {{ARTIST}} (the “Licensor”) and shall confirm the terms according to which Licensee may use a musical composition composed by Licensor in any form of legally valid media.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Musical Composition: {{ALBUM_NAME}}</w:t>
      </w: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Label: {{LABEL}}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Territory: The territory covered by this License is worldwide.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Holder Network: Ethereum Mainnet.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Grant of Rights: Licensor hereby grants to Licensee the non-exclusive right to use the compositions in the soundtrack of any media or "remix", subject to the terms and conditions set forth herein.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Licensor gives and grants to Licensee the non-exclusive right and license to record, dub and edit the compositions in master format, synchronization or time-relation, to copy the compositions in any form, including but not limited to, negatives, prints and/or tape and to publicly distribute, perform, broadcast, transmit and exhibit the composition in non-commercial scenarios, throughout the territory, in all media by any means or methods now known or hereafter devised worldwide.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Payment: In consideration of the license and rights granted herein for the composition used in soundtracks, Licensee shall not pay to Licensor any aggregate amount of monetary value.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Clearance: Licensee is </w:t>
      </w:r>
      <w:r w:rsidDel="00000000" w:rsidR="00000000" w:rsidRPr="00000000">
        <w:rPr>
          <w:b w:val="1"/>
          <w:sz w:val="20"/>
          <w:szCs w:val="20"/>
          <w:rtl w:val="0"/>
        </w:rPr>
        <w:t xml:space="preserve">required</w:t>
      </w:r>
      <w:r w:rsidDel="00000000" w:rsidR="00000000" w:rsidRPr="00000000">
        <w:rPr>
          <w:sz w:val="20"/>
          <w:szCs w:val="20"/>
          <w:rtl w:val="0"/>
        </w:rPr>
        <w:t xml:space="preserve"> to own any of the NFTs included in the </w:t>
      </w:r>
      <w:r w:rsidDel="00000000" w:rsidR="00000000" w:rsidRPr="00000000">
        <w:rPr>
          <w:b w:val="1"/>
          <w:color w:val="4a4f4f"/>
          <w:sz w:val="20"/>
          <w:szCs w:val="20"/>
          <w:rtl w:val="0"/>
        </w:rPr>
        <w:t xml:space="preserve">{{NFT_COLLECTION}}</w:t>
      </w:r>
      <w:r w:rsidDel="00000000" w:rsidR="00000000" w:rsidRPr="00000000">
        <w:rPr>
          <w:b w:val="1"/>
          <w:sz w:val="20"/>
          <w:szCs w:val="20"/>
          <w:rtl w:val="0"/>
        </w:rPr>
        <w:t xml:space="preserve"> </w:t>
      </w:r>
      <w:r w:rsidDel="00000000" w:rsidR="00000000" w:rsidRPr="00000000">
        <w:rPr>
          <w:sz w:val="20"/>
          <w:szCs w:val="20"/>
          <w:rtl w:val="0"/>
        </w:rPr>
        <w:t xml:space="preserve">series, and must be able to provide proof of ownership if required by Licensor.</w:t>
      </w:r>
      <w:r w:rsidDel="00000000" w:rsidR="00000000" w:rsidRPr="00000000">
        <w:rPr>
          <w:sz w:val="20"/>
          <w:szCs w:val="20"/>
          <w:rtl w:val="0"/>
        </w:rPr>
        <w:t xml:space="preserve"> Licensee shall be responsible for obtaining appropriate performance licenses and shall make all payments required  to be made  in connection  with  Licensee’s  use thereof.</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Reserved Rights: Notwithstanding anything contained in this License to the contrary, Licensee hereby acknowledges  and agrees that this License does not grant to Licensee the right to include the compositions or any part thereof in any soundtrack phonograph record album (whether disc form,  prerecorded  tape form  or  otherwise)  or  in  any  other phonograph record, without Licensor’s prior written approval thereof.</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Representations and  Warranties: Licensor represents and warrants that Licensor owns or controls One Hundred  Percent (100%) of  the  composition   and  has  the full right, power and authority to  enter  into  and  fully  perform  this  License  and  to grant the rights granted herein; that the  consent  of  no  other person,  firm  or  corporation  is required  to  grant  such  rights; that   there   are no  outstanding</w:t>
        <w:tab/>
        <w:t xml:space="preserve">liens,  encumbrances,  nor any claims or litigation, either existing or threatened, which may in any way interfere with, impair or be in derogation of the rights herein  granted  to Licensee.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No obligation to Use the Composition: Nothing contained herein shall obligate Licensee to actually use the Composition in soundtracks or in connection with the exploitation of Licensee’s rights.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Assignment: Licensee may exclusively transfer this License via Ethereum ERC-721 transaction.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Severability: Nothing contained in this License shall be construed so as to require the commission of any contrary to law, and wherever there is conflict between any provision of this License and any statue, law, ordinance, order or regulation, or collective bargaining agreement or agreement binding on the parties hereto, contrary to which the parties have no legal right to contract, such statue, law provided, that in such event the provision of this License so affected shall be curtailed and limited only to the extent necessary to permit compliance with the minimum legal requirement, and no other provisions of this License shall be affected thereby, and all such other provisions shall continue in full force and effect.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 MATERIAL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sectPr>
      <w:headerReference r:id="rId7" w:type="first"/>
      <w:footerReference r:id="rId8" w:type="default"/>
      <w:pgSz w:h="15840" w:w="12240" w:orient="portrait"/>
      <w:pgMar w:bottom="792" w:top="792" w:left="792" w:right="792" w:header="792"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636a6b"/>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color="ffd556" w:space="27" w:sz="12" w:val="single"/>
        <w:left w:color="ffd556" w:space="4" w:sz="12" w:val="single"/>
        <w:bottom w:color="ffd556" w:space="27" w:sz="12" w:val="single"/>
        <w:right w:color="ffd556" w:space="4" w:sz="12" w:val="single"/>
        <w:between w:space="0" w:sz="0" w:val="nil"/>
      </w:pBdr>
      <w:shd w:fill="auto" w:val="clear"/>
      <w:spacing w:after="240" w:before="0" w:line="240" w:lineRule="auto"/>
      <w:ind w:left="144" w:right="144" w:hanging="144"/>
      <w:jc w:val="center"/>
      <w:rPr>
        <w:rFonts w:ascii="Century Gothic" w:cs="Century Gothic" w:eastAsia="Century Gothic" w:hAnsi="Century Gothic"/>
        <w:b w:val="0"/>
        <w:i w:val="0"/>
        <w:smallCaps w:val="1"/>
        <w:strike w:val="0"/>
        <w:color w:val="404040"/>
        <w:sz w:val="46"/>
        <w:szCs w:val="46"/>
        <w:u w:val="none"/>
        <w:shd w:fill="auto" w:val="clear"/>
        <w:vertAlign w:val="baseline"/>
      </w:rPr>
    </w:pPr>
    <w:r w:rsidDel="00000000" w:rsidR="00000000" w:rsidRPr="00000000">
      <w:rPr>
        <w:smallCaps w:val="1"/>
        <w:color w:val="404040"/>
        <w:sz w:val="46"/>
        <w:szCs w:val="46"/>
        <w:rtl w:val="0"/>
      </w:rPr>
      <w:t xml:space="preserve">⎊ Canok Music License v0.1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636a6b"/>
        <w:sz w:val="22"/>
        <w:szCs w:val="22"/>
        <w:lang w:val="en-US"/>
      </w:rPr>
    </w:rPrDefault>
    <w:pPrDefault>
      <w:pPr>
        <w:spacing w:after="60" w:line="259"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Century Gothic" w:cs="Century Gothic" w:eastAsia="Century Gothic" w:hAnsi="Century Gothic"/>
      <w:smallCaps w:val="1"/>
      <w:color w:val="4a4f4f"/>
      <w:sz w:val="28"/>
      <w:szCs w:val="28"/>
    </w:rPr>
  </w:style>
  <w:style w:type="paragraph" w:styleId="Heading2">
    <w:name w:val="heading 2"/>
    <w:basedOn w:val="Normal"/>
    <w:next w:val="Normal"/>
    <w:pPr>
      <w:keepNext w:val="1"/>
      <w:keepLines w:val="1"/>
    </w:pPr>
    <w:rPr>
      <w:rFonts w:ascii="Century Gothic" w:cs="Century Gothic" w:eastAsia="Century Gothic" w:hAnsi="Century Gothic"/>
      <w:b w:val="1"/>
      <w:color w:val="4a4f4f"/>
    </w:rPr>
  </w:style>
  <w:style w:type="paragraph" w:styleId="Heading3">
    <w:name w:val="heading 3"/>
    <w:basedOn w:val="Normal"/>
    <w:next w:val="Normal"/>
    <w:pPr>
      <w:keepNext w:val="1"/>
      <w:keepLines w:val="1"/>
      <w:spacing w:after="0" w:before="40" w:lineRule="auto"/>
    </w:pPr>
    <w:rPr>
      <w:rFonts w:ascii="Century Gothic" w:cs="Century Gothic" w:eastAsia="Century Gothic" w:hAnsi="Century Gothic"/>
      <w:color w:val="806000"/>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806000"/>
    </w:rPr>
  </w:style>
  <w:style w:type="paragraph" w:styleId="Heading5">
    <w:name w:val="heading 5"/>
    <w:basedOn w:val="Normal"/>
    <w:next w:val="Normal"/>
    <w:pPr>
      <w:keepNext w:val="1"/>
      <w:keepLines w:val="1"/>
      <w:spacing w:after="0" w:before="40" w:lineRule="auto"/>
    </w:pPr>
    <w:rPr>
      <w:rFonts w:ascii="Century Gothic" w:cs="Century Gothic" w:eastAsia="Century Gothic" w:hAnsi="Century Gothic"/>
      <w:b w:val="1"/>
      <w:color w:val="806000"/>
    </w:rPr>
  </w:style>
  <w:style w:type="paragraph" w:styleId="Heading6">
    <w:name w:val="heading 6"/>
    <w:basedOn w:val="Normal"/>
    <w:next w:val="Normal"/>
    <w:pPr>
      <w:keepNext w:val="1"/>
      <w:keepLines w:val="1"/>
      <w:spacing w:after="0" w:before="40" w:lineRule="auto"/>
    </w:pPr>
    <w:rPr>
      <w:rFonts w:ascii="Century Gothic" w:cs="Century Gothic" w:eastAsia="Century Gothic" w:hAnsi="Century Gothic"/>
      <w:b w:val="1"/>
      <w:i w:val="1"/>
      <w:color w:val="80600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360.0" w:type="dxa"/>
        <w:bottom w:w="288.0" w:type="dxa"/>
        <w:right w:w="360.0" w:type="dxa"/>
      </w:tblCellMar>
    </w:tblPr>
  </w:style>
  <w:style w:type="table" w:styleId="Table3">
    <w:basedOn w:val="TableNormal"/>
    <w:tblPr>
      <w:tblStyleRowBandSize w:val="1"/>
      <w:tblStyleColBandSize w:val="1"/>
      <w:tblCellMar>
        <w:top w:w="0.0" w:type="dxa"/>
        <w:left w:w="360.0" w:type="dxa"/>
        <w:bottom w:w="288.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herscan.io/verifySi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