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rPr>
          <w:b/>
          <w:bCs/>
          <w:color w:val="1F6F4A"/>
          <w:spacing w:val="60"/>
          <w:sz w:val="26"/>
          <w:szCs w:val="26"/>
        </w:rPr>
      </w:pPr>
      <w:r>
        <w:rPr>
          <w:b/>
          <w:bCs/>
          <w:color w:val="1F6F4A"/>
          <w:spacing w:val="60"/>
          <w:sz w:val="26"/>
          <w:szCs w:val="26"/>
        </w:rPr>
        <w:t xml:space="preserve">MARKETPLACE AMAZONIA</w:t>
      </w:r>
    </w:p>
    <w:p>
      <w:pPr>
        <w:spacing w:after="160"/>
        <w:jc w:val="center"/>
        <w:rPr>
          <w:b/>
          <w:bCs/>
          <w:sz w:val="52"/>
          <w:szCs w:val="52"/>
        </w:rPr>
      </w:pPr>
      <w:r>
        <w:rPr>
          <w:b/>
          <w:bCs/>
          <w:sz w:val="52"/>
          <w:szCs w:val="52"/>
        </w:rPr>
        <w:t xml:space="preserve">Informe de Pruebas</w:t>
      </w:r>
    </w:p>
    <w:p>
      <w:pPr>
        <w:spacing w:after="900"/>
        <w:jc w:val="center"/>
        <w:rPr>
          <w:i/>
          <w:iCs/>
          <w:color w:val="595959"/>
          <w:sz w:val="24"/>
          <w:szCs w:val="24"/>
        </w:rPr>
      </w:pPr>
      <w:r>
        <w:rPr>
          <w:i/>
          <w:iCs/>
          <w:color w:val="595959"/>
          <w:sz w:val="24"/>
          <w:szCs w:val="24"/>
        </w:rPr>
        <w:t xml:space="preserve">Pruebas de funcionalidad, usabilidad y seguridad</w:t>
      </w:r>
    </w:p>
    <w:p>
      <w:pPr>
        <w:spacing w:after="60"/>
        <w:jc w:val="center"/>
        <w:rPr>
          <w:color w:val="595959"/>
          <w:sz w:val="20"/>
          <w:szCs w:val="20"/>
        </w:rPr>
      </w:pPr>
      <w:r>
        <w:rPr>
          <w:color w:val="595959"/>
          <w:sz w:val="20"/>
          <w:szCs w:val="20"/>
        </w:rPr>
        <w:t xml:space="preserve">WordPress · WooCommerce · WCFM Multivendor · Envia</w:t>
      </w:r>
    </w:p>
    <w:p>
      <w:pPr>
        <w:jc w:val="center"/>
        <w:rPr>
          <w:color w:val="595959"/>
          <w:sz w:val="20"/>
          <w:szCs w:val="20"/>
        </w:rPr>
      </w:pPr>
      <w:r>
        <w:rPr>
          <w:color w:val="595959"/>
          <w:sz w:val="20"/>
          <w:szCs w:val="20"/>
        </w:rPr>
        <w:t xml:space="preserve">Versión 1.0 — 18 de julio de 2026</w:t>
      </w:r>
    </w:p>
    <w:p>
      <w:r>
        <w:br w:type="page"/>
      </w:r>
    </w:p>
    <w:p>
      <w:pPr>
        <w:pStyle w:val="Heading1"/>
        <w:spacing w:after="200"/>
      </w:pPr>
      <w: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40"/>
      </w:pPr>
      <w:r>
        <w:t xml:space="preserve">1. Introducción</w:t>
      </w:r>
    </w:p>
    <w:p>
      <w:pPr>
        <w:pStyle w:val="Heading3"/>
        <w:spacing w:after="120" w:before="240"/>
      </w:pPr>
      <w:r>
        <w:t xml:space="preserve">1.1 Objetivo</w:t>
      </w:r>
    </w:p>
    <w:p>
      <w:pPr>
        <w:spacing w:after="60" w:before="60" w:line="276"/>
        <w:jc w:val="both"/>
      </w:pPr>
      <w:r>
        <w:t xml:space="preserve">Este informe documenta las pruebas de </w:t>
      </w:r>
      <w:r>
        <w:rPr>
          <w:b/>
          <w:bCs/>
        </w:rPr>
        <w:t xml:space="preserve">funcionalidad</w:t>
      </w:r>
      <w:r>
        <w:t xml:space="preserve">, </w:t>
      </w:r>
      <w:r>
        <w:rPr>
          <w:b/>
          <w:bCs/>
        </w:rPr>
        <w:t xml:space="preserve">usabilidad</w:t>
      </w:r>
      <w:r>
        <w:t xml:space="preserve"> y </w:t>
      </w:r>
      <w:r>
        <w:rPr>
          <w:b/>
          <w:bCs/>
        </w:rPr>
        <w:t xml:space="preserve">seguridad</w:t>
      </w:r>
      <w:r>
        <w:t xml:space="preserve"> aplicadas al marketplace Amazonia, con foco en el código propio desarrollado para la plataforma. Su propósito es dejar constancia verificable de qué se probó, cómo se probó, qué resultado se obtuvo y qué defectos se encontraron y corrigieron.</w:t>
      </w:r>
    </w:p>
    <w:p>
      <w:pPr>
        <w:pStyle w:val="Heading3"/>
        <w:spacing w:after="120" w:before="240"/>
      </w:pPr>
      <w:r>
        <w:t xml:space="preserve">1.2 Alcance</w:t>
      </w:r>
    </w:p>
    <w:p>
      <w:pPr>
        <w:spacing w:after="60" w:before="60" w:line="276"/>
        <w:jc w:val="both"/>
      </w:pPr>
      <w:r>
        <w:t xml:space="preserve">Se evaluó exclusivamente el </w:t>
      </w:r>
      <w:r>
        <w:rPr>
          <w:b/>
          <w:bCs/>
        </w:rPr>
        <w:t xml:space="preserve">código propio</w:t>
      </w:r>
      <w:r>
        <w:t xml:space="preser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Componente</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Ruta</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Función</w:t>
            </w:r>
          </w:p>
        </w:tc>
      </w:tr>
      <w:tr>
        <w:tc>
          <w:tcPr>
            <w:tcW w:type="dxa" w:w="3120"/>
            <w:tcMar>
              <w:top w:type="dxa" w:w="60"/>
              <w:left w:type="dxa" w:w="90"/>
              <w:bottom w:type="dxa" w:w="60"/>
              <w:right w:type="dxa" w:w="90"/>
            </w:tcMar>
          </w:tcPr>
          <w:p>
            <w:pPr>
              <w:spacing w:after="20" w:before="20"/>
            </w:pPr>
            <w:r>
              <w:rPr>
                <w:sz w:val="19"/>
                <w:szCs w:val="19"/>
              </w:rPr>
              <w:t xml:space="preserve">Amazonia Vendor Shipping</w:t>
            </w:r>
          </w:p>
        </w:tc>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wp-content/plugins/amazonia-vendor-shipping/</w:t>
            </w:r>
          </w:p>
        </w:tc>
        <w:tc>
          <w:tcPr>
            <w:tcW w:type="dxa" w:w="3120"/>
            <w:tcMar>
              <w:top w:type="dxa" w:w="60"/>
              <w:left w:type="dxa" w:w="90"/>
              <w:bottom w:type="dxa" w:w="60"/>
              <w:right w:type="dxa" w:w="90"/>
            </w:tcMar>
          </w:tcPr>
          <w:p>
            <w:pPr>
              <w:spacing w:after="20" w:before="20"/>
            </w:pPr>
            <w:r>
              <w:rPr>
                <w:sz w:val="19"/>
                <w:szCs w:val="19"/>
              </w:rPr>
              <w:t xml:space="preserve">Envíos multivendedor sobre Envia + WCFM</w:t>
            </w:r>
          </w:p>
        </w:tc>
      </w:tr>
      <w:tr>
        <w:tc>
          <w:tcPr>
            <w:tcW w:type="dxa" w:w="3120"/>
            <w:tcMar>
              <w:top w:type="dxa" w:w="60"/>
              <w:left w:type="dxa" w:w="90"/>
              <w:bottom w:type="dxa" w:w="60"/>
              <w:right w:type="dxa" w:w="90"/>
            </w:tcMar>
          </w:tcPr>
          <w:p>
            <w:pPr>
              <w:spacing w:after="20" w:before="20"/>
            </w:pPr>
            <w:r>
              <w:rPr>
                <w:sz w:val="19"/>
                <w:szCs w:val="19"/>
              </w:rPr>
              <w:t xml:space="preserve">WCFM AI Assistant</w:t>
            </w:r>
          </w:p>
        </w:tc>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wp-content/plugins/wcfm-ai-assistant/</w:t>
            </w:r>
          </w:p>
        </w:tc>
        <w:tc>
          <w:tcPr>
            <w:tcW w:type="dxa" w:w="3120"/>
            <w:tcMar>
              <w:top w:type="dxa" w:w="60"/>
              <w:left w:type="dxa" w:w="90"/>
              <w:bottom w:type="dxa" w:w="60"/>
              <w:right w:type="dxa" w:w="90"/>
            </w:tcMar>
          </w:tcPr>
          <w:p>
            <w:pPr>
              <w:spacing w:after="20" w:before="20"/>
            </w:pPr>
            <w:r>
              <w:rPr>
                <w:sz w:val="19"/>
                <w:szCs w:val="19"/>
              </w:rPr>
              <w:t xml:space="preserve">Asistente de IA para el dashboard del vendedor</w:t>
            </w:r>
          </w:p>
        </w:tc>
      </w:tr>
      <w:tr>
        <w:tc>
          <w:tcPr>
            <w:tcW w:type="dxa" w:w="3120"/>
            <w:tcMar>
              <w:top w:type="dxa" w:w="60"/>
              <w:left w:type="dxa" w:w="90"/>
              <w:bottom w:type="dxa" w:w="60"/>
              <w:right w:type="dxa" w:w="90"/>
            </w:tcMar>
          </w:tcPr>
          <w:p>
            <w:pPr>
              <w:spacing w:after="20" w:before="20"/>
            </w:pPr>
            <w:r>
              <w:rPr>
                <w:sz w:val="19"/>
                <w:szCs w:val="19"/>
              </w:rPr>
              <w:t xml:space="preserve">Tema Amazonia</w:t>
            </w:r>
          </w:p>
        </w:tc>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wp-content/themes/amazonia-theme/</w:t>
            </w:r>
          </w:p>
        </w:tc>
        <w:tc>
          <w:tcPr>
            <w:tcW w:type="dxa" w:w="3120"/>
            <w:tcMar>
              <w:top w:type="dxa" w:w="60"/>
              <w:left w:type="dxa" w:w="90"/>
              <w:bottom w:type="dxa" w:w="60"/>
              <w:right w:type="dxa" w:w="90"/>
            </w:tcMar>
          </w:tcPr>
          <w:p>
            <w:pPr>
              <w:spacing w:after="20" w:before="20"/>
            </w:pPr>
            <w:r>
              <w:rPr>
                <w:sz w:val="19"/>
                <w:szCs w:val="19"/>
              </w:rPr>
              <w:t xml:space="preserve">Capa de presentación y flujos de usuario</w:t>
            </w:r>
          </w:p>
        </w:tc>
      </w:tr>
    </w:tbl>
    <w:p>
      <w:pPr>
        <w:spacing w:after="120"/>
      </w:pPr>
    </w:p>
    <w:p>
      <w:pPr>
        <w:spacing w:after="60" w:before="60" w:line="276"/>
        <w:jc w:val="both"/>
      </w:pPr>
      <w:r>
        <w:t xml:space="preserve">Quedan </w:t>
      </w:r>
      <w:r>
        <w:rPr>
          <w:b/>
          <w:bCs/>
        </w:rPr>
        <w:t xml:space="preserve">fuera del alcance</w:t>
      </w:r>
      <w:r>
        <w:t xml:space="preserve"> el núcleo de WordPress, WooCommerce, WCFM y el plugin de Envia (software de terceros), así como la integración de Mercado Pago Split, que a la fecha no está implementada.</w:t>
      </w:r>
    </w:p>
    <w:p>
      <w:pPr>
        <w:pStyle w:val="Heading3"/>
        <w:spacing w:after="120" w:before="240"/>
      </w:pPr>
      <w:r>
        <w:t xml:space="preserve">1.3 Entorno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6F4A" w:val="clear"/>
            <w:tcMar>
              <w:top w:type="dxa" w:w="60"/>
              <w:left w:type="dxa" w:w="90"/>
              <w:bottom w:type="dxa" w:w="60"/>
              <w:right w:type="dxa" w:w="90"/>
            </w:tcMar>
          </w:tcPr>
          <w:p>
            <w:pPr>
              <w:spacing w:after="20" w:before="20"/>
            </w:pPr>
            <w:r>
              <w:rPr>
                <w:b/>
                <w:bCs/>
                <w:color w:val="FFFFFF"/>
                <w:sz w:val="19"/>
                <w:szCs w:val="19"/>
              </w:rPr>
              <w:t xml:space="preserve">Elemento</w:t>
            </w:r>
          </w:p>
        </w:tc>
        <w:tc>
          <w:tcPr>
            <w:tcW w:type="dxa" w:w="4680"/>
            <w:shd w:fill="1F6F4A" w:val="clear"/>
            <w:tcMar>
              <w:top w:type="dxa" w:w="60"/>
              <w:left w:type="dxa" w:w="90"/>
              <w:bottom w:type="dxa" w:w="60"/>
              <w:right w:type="dxa" w:w="90"/>
            </w:tcMar>
          </w:tcPr>
          <w:p>
            <w:pPr>
              <w:spacing w:after="20" w:before="20"/>
            </w:pPr>
            <w:r>
              <w:rPr>
                <w:b/>
                <w:bCs/>
                <w:color w:val="FFFFFF"/>
                <w:sz w:val="19"/>
                <w:szCs w:val="19"/>
              </w:rPr>
              <w:t xml:space="preserve">Valor</w:t>
            </w:r>
          </w:p>
        </w:tc>
      </w:tr>
      <w:tr>
        <w:tc>
          <w:tcPr>
            <w:tcW w:type="dxa" w:w="4680"/>
            <w:tcMar>
              <w:top w:type="dxa" w:w="60"/>
              <w:left w:type="dxa" w:w="90"/>
              <w:bottom w:type="dxa" w:w="60"/>
              <w:right w:type="dxa" w:w="90"/>
            </w:tcMar>
          </w:tcPr>
          <w:p>
            <w:pPr>
              <w:spacing w:after="20" w:before="20"/>
            </w:pPr>
            <w:r>
              <w:rPr>
                <w:sz w:val="19"/>
                <w:szCs w:val="19"/>
              </w:rPr>
              <w:t xml:space="preserve">Servidor</w:t>
            </w:r>
          </w:p>
        </w:tc>
        <w:tc>
          <w:tcPr>
            <w:tcW w:type="dxa" w:w="4680"/>
            <w:tcMar>
              <w:top w:type="dxa" w:w="60"/>
              <w:left w:type="dxa" w:w="90"/>
              <w:bottom w:type="dxa" w:w="60"/>
              <w:right w:type="dxa" w:w="90"/>
            </w:tcMar>
          </w:tcPr>
          <w:p>
            <w:pPr>
              <w:spacing w:after="20" w:before="20"/>
            </w:pPr>
            <w:r>
              <w:rPr>
                <w:sz w:val="19"/>
                <w:szCs w:val="19"/>
              </w:rPr>
              <w:t xml:space="preserve">XAMPP / Apache (puerto 80)</w:t>
            </w:r>
          </w:p>
        </w:tc>
      </w:tr>
      <w:tr>
        <w:tc>
          <w:tcPr>
            <w:tcW w:type="dxa" w:w="4680"/>
            <w:tcMar>
              <w:top w:type="dxa" w:w="60"/>
              <w:left w:type="dxa" w:w="90"/>
              <w:bottom w:type="dxa" w:w="60"/>
              <w:right w:type="dxa" w:w="90"/>
            </w:tcMar>
          </w:tcPr>
          <w:p>
            <w:pPr>
              <w:spacing w:after="20" w:before="20"/>
            </w:pPr>
            <w:r>
              <w:rPr>
                <w:sz w:val="19"/>
                <w:szCs w:val="19"/>
              </w:rPr>
              <w:t xml:space="preserve">PHP (CLI)</w:t>
            </w:r>
          </w:p>
        </w:tc>
        <w:tc>
          <w:tcPr>
            <w:tcW w:type="dxa" w:w="468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C:\xampp\php\php.exe</w:t>
            </w:r>
          </w:p>
        </w:tc>
      </w:tr>
      <w:tr>
        <w:tc>
          <w:tcPr>
            <w:tcW w:type="dxa" w:w="4680"/>
            <w:tcMar>
              <w:top w:type="dxa" w:w="60"/>
              <w:left w:type="dxa" w:w="90"/>
              <w:bottom w:type="dxa" w:w="60"/>
              <w:right w:type="dxa" w:w="90"/>
            </w:tcMar>
          </w:tcPr>
          <w:p>
            <w:pPr>
              <w:spacing w:after="20" w:before="20"/>
            </w:pPr>
            <w:r>
              <w:rPr>
                <w:sz w:val="19"/>
                <w:szCs w:val="19"/>
              </w:rPr>
              <w:t xml:space="preserve">Base de datos</w:t>
            </w:r>
          </w:p>
        </w:tc>
        <w:tc>
          <w:tcPr>
            <w:tcW w:type="dxa" w:w="4680"/>
            <w:tcMar>
              <w:top w:type="dxa" w:w="60"/>
              <w:left w:type="dxa" w:w="90"/>
              <w:bottom w:type="dxa" w:w="60"/>
              <w:right w:type="dxa" w:w="90"/>
            </w:tcMar>
          </w:tcPr>
          <w:p>
            <w:pPr>
              <w:spacing w:after="20" w:before="20"/>
            </w:pPr>
            <w:r>
              <w:rPr>
                <w:sz w:val="19"/>
                <w:szCs w:val="19"/>
              </w:rPr>
              <w:t xml:space="preserve">MySQL/MariaDB, esquema </w:t>
            </w:r>
            <w:r>
              <w:rPr>
                <w:rFonts w:ascii="Consolas" w:cs="Consolas" w:eastAsia="Consolas" w:hAnsi="Consolas"/>
                <w:sz w:val="19"/>
                <w:szCs w:val="19"/>
                <w:shd w:fill="F2F2F2" w:val="clear"/>
              </w:rPr>
              <w:t xml:space="preserve">wooecomerce</w:t>
            </w:r>
            <w:r>
              <w:rPr>
                <w:sz w:val="19"/>
                <w:szCs w:val="19"/>
              </w:rPr>
              <w:t xml:space="preserve">, prefijo </w:t>
            </w:r>
            <w:r>
              <w:rPr>
                <w:rFonts w:ascii="Consolas" w:cs="Consolas" w:eastAsia="Consolas" w:hAnsi="Consolas"/>
                <w:sz w:val="19"/>
                <w:szCs w:val="19"/>
                <w:shd w:fill="F2F2F2" w:val="clear"/>
              </w:rPr>
              <w:t xml:space="preserve">wp_</w:t>
            </w:r>
          </w:p>
        </w:tc>
      </w:tr>
      <w:tr>
        <w:tc>
          <w:tcPr>
            <w:tcW w:type="dxa" w:w="4680"/>
            <w:tcMar>
              <w:top w:type="dxa" w:w="60"/>
              <w:left w:type="dxa" w:w="90"/>
              <w:bottom w:type="dxa" w:w="60"/>
              <w:right w:type="dxa" w:w="90"/>
            </w:tcMar>
          </w:tcPr>
          <w:p>
            <w:pPr>
              <w:spacing w:after="20" w:before="20"/>
            </w:pPr>
            <w:r>
              <w:rPr>
                <w:sz w:val="19"/>
                <w:szCs w:val="19"/>
              </w:rPr>
              <w:t xml:space="preserve">Exposición pública</w:t>
            </w:r>
          </w:p>
        </w:tc>
        <w:tc>
          <w:tcPr>
            <w:tcW w:type="dxa" w:w="4680"/>
            <w:tcMar>
              <w:top w:type="dxa" w:w="60"/>
              <w:left w:type="dxa" w:w="90"/>
              <w:bottom w:type="dxa" w:w="60"/>
              <w:right w:type="dxa" w:w="90"/>
            </w:tcMar>
          </w:tcPr>
          <w:p>
            <w:pPr>
              <w:spacing w:after="20" w:before="20"/>
            </w:pPr>
            <w:r>
              <w:rPr>
                <w:sz w:val="19"/>
                <w:szCs w:val="19"/>
              </w:rPr>
              <w:t xml:space="preserve">Túnel </w:t>
            </w:r>
            <w:r>
              <w:rPr>
                <w:rFonts w:ascii="Consolas" w:cs="Consolas" w:eastAsia="Consolas" w:hAnsi="Consolas"/>
                <w:sz w:val="19"/>
                <w:szCs w:val="19"/>
                <w:shd w:fill="F2F2F2" w:val="clear"/>
              </w:rPr>
              <w:t xml:space="preserve">ngrok http 80</w:t>
            </w:r>
            <w:r>
              <w:rPr>
                <w:sz w:val="19"/>
                <w:szCs w:val="19"/>
              </w:rPr>
              <w:t xml:space="preserve"> (para las llamadas de Envia)</w:t>
            </w:r>
          </w:p>
        </w:tc>
      </w:tr>
      <w:tr>
        <w:tc>
          <w:tcPr>
            <w:tcW w:type="dxa" w:w="4680"/>
            <w:tcMar>
              <w:top w:type="dxa" w:w="60"/>
              <w:left w:type="dxa" w:w="90"/>
              <w:bottom w:type="dxa" w:w="60"/>
              <w:right w:type="dxa" w:w="90"/>
            </w:tcMar>
          </w:tcPr>
          <w:p>
            <w:pPr>
              <w:spacing w:after="20" w:before="20"/>
            </w:pPr>
            <w:r>
              <w:rPr>
                <w:sz w:val="19"/>
                <w:szCs w:val="19"/>
              </w:rPr>
              <w:t xml:space="preserve">Marco de pruebas</w:t>
            </w:r>
          </w:p>
        </w:tc>
        <w:tc>
          <w:tcPr>
            <w:tcW w:type="dxa" w:w="4680"/>
            <w:tcMar>
              <w:top w:type="dxa" w:w="60"/>
              <w:left w:type="dxa" w:w="90"/>
              <w:bottom w:type="dxa" w:w="60"/>
              <w:right w:type="dxa" w:w="90"/>
            </w:tcMar>
          </w:tcPr>
          <w:p>
            <w:pPr>
              <w:spacing w:after="20" w:before="20"/>
            </w:pPr>
            <w:r>
              <w:rPr>
                <w:sz w:val="19"/>
                <w:szCs w:val="19"/>
              </w:rPr>
              <w:t xml:space="preserve">Scripts PHP autónomos (no hay PHPUnit ni WP-CLI instalados)</w:t>
            </w:r>
          </w:p>
        </w:tc>
      </w:tr>
    </w:tbl>
    <w:p>
      <w:pPr>
        <w:spacing w:after="120"/>
      </w:pPr>
    </w:p>
    <w:p>
      <w:pPr>
        <w:pBdr>
          <w:bottom w:val="single" w:color="D0D0D0" w:sz="6"/>
        </w:pBdr>
        <w:spacing w:after="120" w:before="80"/>
      </w:pPr>
    </w:p>
    <w:p>
      <w:pPr>
        <w:pStyle w:val="Heading2"/>
        <w:spacing w:after="120" w:before="240"/>
      </w:pPr>
      <w:r>
        <w:t xml:space="preserve">2. Pruebas de funcionalidad</w:t>
      </w:r>
    </w:p>
    <w:p>
      <w:pPr>
        <w:pStyle w:val="Heading3"/>
        <w:spacing w:after="120" w:before="240"/>
      </w:pPr>
      <w:r>
        <w:t xml:space="preserve">2.1 Estrategia</w:t>
      </w:r>
    </w:p>
    <w:p>
      <w:pPr>
        <w:spacing w:after="60" w:before="60" w:line="276"/>
        <w:jc w:val="both"/>
      </w:pPr>
      <w:r>
        <w:t xml:space="preserve">El plugin de envíos se construyó por fases, y cada fase tiene un test automatizado que se ejecuta desde la línea de comandos. Los tests son de dos tipos:</w:t>
      </w:r>
    </w:p>
    <w:p>
      <w:pPr>
        <w:pStyle w:val="ListParagraph"/>
        <w:numPr>
          <w:ilvl w:val="0"/>
          <w:numId w:val="1"/>
        </w:numPr>
        <w:spacing w:after="40" w:before="40"/>
      </w:pPr>
      <w:r>
        <w:rPr>
          <w:b/>
          <w:bCs/>
        </w:rPr>
        <w:t xml:space="preserve">Puros:</w:t>
      </w:r>
      <w:r>
        <w:t xml:space="preserve"> ejercitan funciones sin dependencias de WordPress (se activan con </w:t>
      </w:r>
      <w:r>
        <w:rPr>
          <w:rFonts w:ascii="Consolas" w:cs="Consolas" w:eastAsia="Consolas" w:hAnsi="Consolas"/>
          <w:shd w:fill="F2F2F2" w:val="clear"/>
        </w:rPr>
        <w:t xml:space="preserve">define('AVS_TEST', true)</w:t>
      </w:r>
      <w:r>
        <w:t xml:space="preserve">). Validan la lógica de negocio aislada.</w:t>
      </w:r>
    </w:p>
    <w:p>
      <w:pPr>
        <w:pStyle w:val="ListParagraph"/>
        <w:numPr>
          <w:ilvl w:val="0"/>
          <w:numId w:val="1"/>
        </w:numPr>
        <w:spacing w:after="40" w:before="40"/>
      </w:pPr>
      <w:r>
        <w:rPr>
          <w:b/>
          <w:bCs/>
        </w:rPr>
        <w:t xml:space="preserve">De integración:</w:t>
      </w:r>
      <w:r>
        <w:t xml:space="preserve"> cargan </w:t>
      </w:r>
      <w:r>
        <w:rPr>
          <w:rFonts w:ascii="Consolas" w:cs="Consolas" w:eastAsia="Consolas" w:hAnsi="Consolas"/>
          <w:shd w:fill="F2F2F2" w:val="clear"/>
        </w:rPr>
        <w:t xml:space="preserve">wp-load.php</w:t>
      </w:r>
      <w:r>
        <w:t xml:space="preserve"> y operan contra la base de datos real, verificando hooks, opciones, metadatos y clases registradas.</w:t>
      </w:r>
    </w:p>
    <w:p>
      <w:pPr>
        <w:spacing w:after="60" w:before="60" w:line="276"/>
        <w:jc w:val="both"/>
      </w:pPr>
      <w:r>
        <w:t xml:space="preserve">Comando de ejecución:</w:t>
      </w:r>
    </w:p>
    <w:p>
      <w:pPr>
        <w:shd w:fill="F2F2F2" w:val="clear"/>
        <w:spacing w:after="100" w:before="100"/>
      </w:pPr>
      <w:r>
        <w:rPr>
          <w:rFonts w:ascii="Consolas" w:cs="Consolas" w:eastAsia="Consolas" w:hAnsi="Consolas"/>
          <w:sz w:val="18"/>
          <w:szCs w:val="18"/>
        </w:rPr>
        <w:t xml:space="preserve">C:\xampp\php\php.exe wp-content\plugins\amazonia-vendor-shipping\tests\run-all.php</w:t>
      </w:r>
    </w:p>
    <w:p>
      <w:pPr>
        <w:pStyle w:val="Heading3"/>
        <w:spacing w:after="120" w:before="240"/>
      </w:pPr>
      <w:r>
        <w:t xml:space="preserve">2.2 Defecto crítico detectado en el propio marco de pruebas</w:t>
      </w:r>
    </w:p>
    <w:p>
      <w:pPr>
        <w:spacing w:after="60" w:before="60" w:line="276"/>
        <w:jc w:val="both"/>
      </w:pPr>
      <w:r>
        <w:t xml:space="preserve">Antes de poder confiar en cualquier resultado, se detectó que </w:t>
      </w:r>
      <w:r>
        <w:rPr>
          <w:b/>
          <w:bCs/>
        </w:rPr>
        <w:t xml:space="preserve">el suite reportaba "9/9 PASS" de forma falsa</w:t>
      </w:r>
      <w:r>
        <w:t xml:space="preserve">.</w:t>
      </w:r>
    </w:p>
    <w:p>
      <w:pPr>
        <w:spacing w:after="60" w:before="60" w:line="276"/>
        <w:jc w:val="both"/>
      </w:pPr>
      <w:r>
        <w:rPr>
          <w:b/>
          <w:bCs/>
        </w:rPr>
        <w:t xml:space="preserve">Causa raíz.</w:t>
      </w:r>
      <w:r>
        <w:t xml:space="preserve"> El runner (</w:t>
      </w:r>
      <w:r>
        <w:rPr>
          <w:rFonts w:ascii="Consolas" w:cs="Consolas" w:eastAsia="Consolas" w:hAnsi="Consolas"/>
          <w:shd w:fill="F2F2F2" w:val="clear"/>
        </w:rPr>
        <w:t xml:space="preserve">tests/run-all.php</w:t>
      </w:r>
      <w:r>
        <w:t xml:space="preserve">) decidía el resultado únicamente por el </w:t>
      </w:r>
      <w:r>
        <w:rPr>
          <w:i/>
          <w:iCs/>
        </w:rPr>
        <w:t xml:space="preserve">código de salida</w:t>
      </w:r>
      <w:r>
        <w:t xml:space="preserve"> del proceso hijo. Cuando WordPress no logra conectar con la base de datos, ejecuta </w:t>
      </w:r>
      <w:r>
        <w:rPr>
          <w:rFonts w:ascii="Consolas" w:cs="Consolas" w:eastAsia="Consolas" w:hAnsi="Consolas"/>
          <w:shd w:fill="F2F2F2" w:val="clear"/>
        </w:rPr>
        <w:t xml:space="preserve">wp_die()</w:t>
      </w:r>
      <w:r>
        <w:t xml:space="preserve">, vuelca una página HTML de error y </w:t>
      </w:r>
      <w:r>
        <w:rPr>
          <w:b/>
          <w:bCs/>
        </w:rPr>
        <w:t xml:space="preserve">termina con código de salida 0</w:t>
      </w:r>
      <w:r>
        <w:t xml:space="preserve">. En consecuencia, siete de los nueve tests estaban muriendo antes de ejecutar una sola aserción, y el runner los contaba como aprobados.</w:t>
      </w:r>
    </w:p>
    <w:p>
      <w:pPr>
        <w:spacing w:after="60" w:before="60" w:line="276"/>
        <w:jc w:val="both"/>
      </w:pPr>
      <w:r>
        <w:rPr>
          <w:b/>
          <w:bCs/>
        </w:rPr>
        <w:t xml:space="preserve">Impacto.</w:t>
      </w:r>
      <w:r>
        <w:t xml:space="preserve"> La evidencia de pruebas era inválida: se estaba certificando como correcto un código que nunca se ejecutó.</w:t>
      </w:r>
    </w:p>
    <w:p>
      <w:pPr>
        <w:spacing w:after="60" w:before="60" w:line="276"/>
        <w:jc w:val="both"/>
      </w:pPr>
      <w:r>
        <w:rPr>
          <w:b/>
          <w:bCs/>
        </w:rPr>
        <w:t xml:space="preserve">Corrección.</w:t>
      </w:r>
      <w:r>
        <w:t xml:space="preserve"> El runner ahora exige </w:t>
      </w:r>
      <w:r>
        <w:rPr>
          <w:b/>
          <w:bCs/>
        </w:rPr>
        <w:t xml:space="preserve">dos</w:t>
      </w:r>
      <w:r>
        <w:t xml:space="preserve"> condiciones para dar por aprobado un test: código de salida 0 </w:t>
      </w:r>
      <w:r>
        <w:rPr>
          <w:b/>
          <w:bCs/>
        </w:rPr>
        <w:t xml:space="preserve">y</w:t>
      </w:r>
      <w:r>
        <w:t xml:space="preserve"> la presencia de la marca explícita </w:t>
      </w:r>
      <w:r>
        <w:rPr>
          <w:rFonts w:ascii="Consolas" w:cs="Consolas" w:eastAsia="Consolas" w:hAnsi="Consolas"/>
          <w:shd w:fill="F2F2F2" w:val="clear"/>
        </w:rPr>
        <w:t xml:space="preserve">FASE n: PASS</w:t>
      </w:r>
      <w:r>
        <w:t xml:space="preserve"> en la salida. Además, si detecta una página de error de WordPress, lo informa con un mensaje legible en lugar de volcar el HTML.</w:t>
      </w:r>
    </w:p>
    <w:p>
      <w:pPr>
        <w:spacing w:after="60" w:before="60" w:line="276"/>
        <w:jc w:val="both"/>
      </w:pPr>
      <w:r>
        <w:rPr>
          <w:b/>
          <w:bCs/>
        </w:rPr>
        <w:t xml:space="preserve">Verificación de la corrección.</w:t>
      </w:r>
      <w:r>
        <w:t xml:space="preserve"> Se forzó un host de base de datos inválido y se confirmó que el runner ahora reporta </w:t>
      </w:r>
      <w:r>
        <w:rPr>
          <w:rFonts w:ascii="Consolas" w:cs="Consolas" w:eastAsia="Consolas" w:hAnsi="Consolas"/>
          <w:shd w:fill="F2F2F2" w:val="clear"/>
        </w:rPr>
        <w:t xml:space="preserve">FAIL</w:t>
      </w:r>
      <w:r>
        <w:t xml:space="preserve"> y termina con código 1. Los dos tests puros siguen aprobando, lo cual es el comportamiento correcto: no dependen de WordPress.</w:t>
      </w:r>
    </w:p>
    <w:p>
      <w:pPr>
        <w:pStyle w:val="Heading3"/>
        <w:spacing w:after="120" w:before="240"/>
      </w:pPr>
      <w:r>
        <w:t xml:space="preserve">2.3 Casos de prueba automatizados</w:t>
      </w:r>
    </w:p>
    <w:p>
      <w:pPr>
        <w:spacing w:after="60" w:before="60" w:line="276"/>
        <w:jc w:val="both"/>
      </w:pPr>
      <w:r>
        <w:t xml:space="preserve">Resultado tras corregir el entorno y el runner: </w:t>
      </w:r>
      <w:r>
        <w:rPr>
          <w:b/>
          <w:bCs/>
        </w:rPr>
        <w:t xml:space="preserve">11 de 11 aprobados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Test</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Fase</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Qué valida</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Resultado</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test00-bootstrap.php</w:t>
            </w:r>
          </w:p>
        </w:tc>
        <w:tc>
          <w:tcPr>
            <w:tcW w:type="dxa" w:w="2340"/>
            <w:tcMar>
              <w:top w:type="dxa" w:w="60"/>
              <w:left w:type="dxa" w:w="90"/>
              <w:bottom w:type="dxa" w:w="60"/>
              <w:right w:type="dxa" w:w="90"/>
            </w:tcMar>
          </w:tcPr>
          <w:p>
            <w:pPr>
              <w:spacing w:after="20" w:before="20"/>
            </w:pPr>
            <w:r>
              <w:rPr>
                <w:sz w:val="19"/>
                <w:szCs w:val="19"/>
              </w:rPr>
              <w:t xml:space="preserve">0</w:t>
            </w:r>
          </w:p>
        </w:tc>
        <w:tc>
          <w:tcPr>
            <w:tcW w:type="dxa" w:w="2340"/>
            <w:tcMar>
              <w:top w:type="dxa" w:w="60"/>
              <w:left w:type="dxa" w:w="90"/>
              <w:bottom w:type="dxa" w:w="60"/>
              <w:right w:type="dxa" w:w="90"/>
            </w:tcMar>
          </w:tcPr>
          <w:p>
            <w:pPr>
              <w:spacing w:after="20" w:before="20"/>
            </w:pPr>
            <w:r>
              <w:rPr>
                <w:sz w:val="19"/>
                <w:szCs w:val="19"/>
              </w:rPr>
              <w:t xml:space="preserve">Carga del plugin y de sus módulos</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test01-config.php</w:t>
            </w:r>
          </w:p>
        </w:tc>
        <w:tc>
          <w:tcPr>
            <w:tcW w:type="dxa" w:w="2340"/>
            <w:tcMar>
              <w:top w:type="dxa" w:w="60"/>
              <w:left w:type="dxa" w:w="90"/>
              <w:bottom w:type="dxa" w:w="60"/>
              <w:right w:type="dxa" w:w="90"/>
            </w:tcMar>
          </w:tcPr>
          <w:p>
            <w:pPr>
              <w:spacing w:after="20" w:before="20"/>
            </w:pPr>
            <w:r>
              <w:rPr>
                <w:sz w:val="19"/>
                <w:szCs w:val="19"/>
              </w:rPr>
              <w:t xml:space="preserve">1</w:t>
            </w:r>
          </w:p>
        </w:tc>
        <w:tc>
          <w:tcPr>
            <w:tcW w:type="dxa" w:w="2340"/>
            <w:tcMar>
              <w:top w:type="dxa" w:w="60"/>
              <w:left w:type="dxa" w:w="90"/>
              <w:bottom w:type="dxa" w:w="60"/>
              <w:right w:type="dxa" w:w="90"/>
            </w:tcMar>
          </w:tcPr>
          <w:p>
            <w:pPr>
              <w:spacing w:after="20" w:before="20"/>
            </w:pPr>
            <w:r>
              <w:rPr>
                <w:sz w:val="19"/>
                <w:szCs w:val="19"/>
              </w:rPr>
              <w:t xml:space="preserve">Resolución del modo de cobro (override del vendedor sobre el global)</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test02-split.php</w:t>
            </w:r>
          </w:p>
        </w:tc>
        <w:tc>
          <w:tcPr>
            <w:tcW w:type="dxa" w:w="2340"/>
            <w:tcMar>
              <w:top w:type="dxa" w:w="60"/>
              <w:left w:type="dxa" w:w="90"/>
              <w:bottom w:type="dxa" w:w="60"/>
              <w:right w:type="dxa" w:w="90"/>
            </w:tcMar>
          </w:tcPr>
          <w:p>
            <w:pPr>
              <w:spacing w:after="20" w:before="20"/>
            </w:pPr>
            <w:r>
              <w:rPr>
                <w:sz w:val="19"/>
                <w:szCs w:val="19"/>
              </w:rPr>
              <w:t xml:space="preserve">2</w:t>
            </w:r>
          </w:p>
        </w:tc>
        <w:tc>
          <w:tcPr>
            <w:tcW w:type="dxa" w:w="2340"/>
            <w:tcMar>
              <w:top w:type="dxa" w:w="60"/>
              <w:left w:type="dxa" w:w="90"/>
              <w:bottom w:type="dxa" w:w="60"/>
              <w:right w:type="dxa" w:w="90"/>
            </w:tcMar>
          </w:tcPr>
          <w:p>
            <w:pPr>
              <w:spacing w:after="20" w:before="20"/>
            </w:pPr>
            <w:r>
              <w:rPr>
                <w:sz w:val="19"/>
                <w:szCs w:val="19"/>
              </w:rPr>
              <w:t xml:space="preserve">Reparto del costo de envío entre cliente y vendedor</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test03-ledger.php</w:t>
            </w:r>
          </w:p>
        </w:tc>
        <w:tc>
          <w:tcPr>
            <w:tcW w:type="dxa" w:w="2340"/>
            <w:tcMar>
              <w:top w:type="dxa" w:w="60"/>
              <w:left w:type="dxa" w:w="90"/>
              <w:bottom w:type="dxa" w:w="60"/>
              <w:right w:type="dxa" w:w="90"/>
            </w:tcMar>
          </w:tcPr>
          <w:p>
            <w:pPr>
              <w:spacing w:after="20" w:before="20"/>
            </w:pPr>
            <w:r>
              <w:rPr>
                <w:sz w:val="19"/>
                <w:szCs w:val="19"/>
              </w:rPr>
              <w:t xml:space="preserve">3</w:t>
            </w:r>
          </w:p>
        </w:tc>
        <w:tc>
          <w:tcPr>
            <w:tcW w:type="dxa" w:w="2340"/>
            <w:tcMar>
              <w:top w:type="dxa" w:w="60"/>
              <w:left w:type="dxa" w:w="90"/>
              <w:bottom w:type="dxa" w:w="60"/>
              <w:right w:type="dxa" w:w="90"/>
            </w:tcMar>
          </w:tcPr>
          <w:p>
            <w:pPr>
              <w:spacing w:after="20" w:before="20"/>
            </w:pPr>
            <w:r>
              <w:rPr>
                <w:sz w:val="19"/>
                <w:szCs w:val="19"/>
              </w:rPr>
              <w:t xml:space="preserve">Descuento al balance (ledger) del vendedor</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test04-hash.php</w:t>
            </w:r>
          </w:p>
        </w:tc>
        <w:tc>
          <w:tcPr>
            <w:tcW w:type="dxa" w:w="2340"/>
            <w:tcMar>
              <w:top w:type="dxa" w:w="60"/>
              <w:left w:type="dxa" w:w="90"/>
              <w:bottom w:type="dxa" w:w="60"/>
              <w:right w:type="dxa" w:w="90"/>
            </w:tcMar>
          </w:tcPr>
          <w:p>
            <w:pPr>
              <w:spacing w:after="20" w:before="20"/>
            </w:pPr>
            <w:r>
              <w:rPr>
                <w:sz w:val="19"/>
                <w:szCs w:val="19"/>
              </w:rPr>
              <w:t xml:space="preserve">4</w:t>
            </w:r>
          </w:p>
        </w:tc>
        <w:tc>
          <w:tcPr>
            <w:tcW w:type="dxa" w:w="2340"/>
            <w:tcMar>
              <w:top w:type="dxa" w:w="60"/>
              <w:left w:type="dxa" w:w="90"/>
              <w:bottom w:type="dxa" w:w="60"/>
              <w:right w:type="dxa" w:w="90"/>
            </w:tcMar>
          </w:tcPr>
          <w:p>
            <w:pPr>
              <w:spacing w:after="20" w:before="20"/>
            </w:pPr>
            <w:r>
              <w:rPr>
                <w:sz w:val="19"/>
                <w:szCs w:val="19"/>
              </w:rPr>
              <w:t xml:space="preserve">Construcción del hash del panel de Envia</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test05-validation.php</w:t>
            </w:r>
          </w:p>
        </w:tc>
        <w:tc>
          <w:tcPr>
            <w:tcW w:type="dxa" w:w="2340"/>
            <w:tcMar>
              <w:top w:type="dxa" w:w="60"/>
              <w:left w:type="dxa" w:w="90"/>
              <w:bottom w:type="dxa" w:w="60"/>
              <w:right w:type="dxa" w:w="90"/>
            </w:tcMar>
          </w:tcPr>
          <w:p>
            <w:pPr>
              <w:spacing w:after="20" w:before="20"/>
            </w:pPr>
            <w:r>
              <w:rPr>
                <w:sz w:val="19"/>
                <w:szCs w:val="19"/>
              </w:rPr>
              <w:t xml:space="preserve">5</w:t>
            </w:r>
          </w:p>
        </w:tc>
        <w:tc>
          <w:tcPr>
            <w:tcW w:type="dxa" w:w="2340"/>
            <w:tcMar>
              <w:top w:type="dxa" w:w="60"/>
              <w:left w:type="dxa" w:w="90"/>
              <w:bottom w:type="dxa" w:w="60"/>
              <w:right w:type="dxa" w:w="90"/>
            </w:tcMar>
          </w:tcPr>
          <w:p>
            <w:pPr>
              <w:spacing w:after="20" w:before="20"/>
            </w:pPr>
            <w:r>
              <w:rPr>
                <w:sz w:val="19"/>
                <w:szCs w:val="19"/>
              </w:rPr>
              <w:t xml:space="preserve">Exigencia de código postal según el país</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test06-origin.php</w:t>
            </w:r>
          </w:p>
        </w:tc>
        <w:tc>
          <w:tcPr>
            <w:tcW w:type="dxa" w:w="2340"/>
            <w:tcMar>
              <w:top w:type="dxa" w:w="60"/>
              <w:left w:type="dxa" w:w="90"/>
              <w:bottom w:type="dxa" w:w="60"/>
              <w:right w:type="dxa" w:w="90"/>
            </w:tcMar>
          </w:tcPr>
          <w:p>
            <w:pPr>
              <w:spacing w:after="20" w:before="20"/>
            </w:pPr>
            <w:r>
              <w:rPr>
                <w:sz w:val="19"/>
                <w:szCs w:val="19"/>
              </w:rPr>
              <w:t xml:space="preserve">7</w:t>
            </w:r>
          </w:p>
        </w:tc>
        <w:tc>
          <w:tcPr>
            <w:tcW w:type="dxa" w:w="2340"/>
            <w:tcMar>
              <w:top w:type="dxa" w:w="60"/>
              <w:left w:type="dxa" w:w="90"/>
              <w:bottom w:type="dxa" w:w="60"/>
              <w:right w:type="dxa" w:w="90"/>
            </w:tcMar>
          </w:tcPr>
          <w:p>
            <w:pPr>
              <w:spacing w:after="20" w:before="20"/>
            </w:pPr>
            <w:r>
              <w:rPr>
                <w:sz w:val="19"/>
                <w:szCs w:val="19"/>
              </w:rPr>
              <w:t xml:space="preserve">Registro del origen de envío por vendedor</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test07-carrier.php</w:t>
            </w:r>
          </w:p>
        </w:tc>
        <w:tc>
          <w:tcPr>
            <w:tcW w:type="dxa" w:w="2340"/>
            <w:tcMar>
              <w:top w:type="dxa" w:w="60"/>
              <w:left w:type="dxa" w:w="90"/>
              <w:bottom w:type="dxa" w:w="60"/>
              <w:right w:type="dxa" w:w="90"/>
            </w:tcMar>
          </w:tcPr>
          <w:p>
            <w:pPr>
              <w:spacing w:after="20" w:before="20"/>
            </w:pPr>
            <w:r>
              <w:rPr>
                <w:sz w:val="19"/>
                <w:szCs w:val="19"/>
              </w:rPr>
              <w:t xml:space="preserve">8</w:t>
            </w:r>
          </w:p>
        </w:tc>
        <w:tc>
          <w:tcPr>
            <w:tcW w:type="dxa" w:w="2340"/>
            <w:tcMar>
              <w:top w:type="dxa" w:w="60"/>
              <w:left w:type="dxa" w:w="90"/>
              <w:bottom w:type="dxa" w:w="60"/>
              <w:right w:type="dxa" w:w="90"/>
            </w:tcMar>
          </w:tcPr>
          <w:p>
            <w:pPr>
              <w:spacing w:after="20" w:before="20"/>
            </w:pPr>
            <w:r>
              <w:rPr>
                <w:sz w:val="19"/>
                <w:szCs w:val="19"/>
              </w:rPr>
              <w:t xml:space="preserve">Filtro de transportadoras permitidas por vendedor</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test08-label.php</w:t>
            </w:r>
          </w:p>
        </w:tc>
        <w:tc>
          <w:tcPr>
            <w:tcW w:type="dxa" w:w="2340"/>
            <w:tcMar>
              <w:top w:type="dxa" w:w="60"/>
              <w:left w:type="dxa" w:w="90"/>
              <w:bottom w:type="dxa" w:w="60"/>
              <w:right w:type="dxa" w:w="90"/>
            </w:tcMar>
          </w:tcPr>
          <w:p>
            <w:pPr>
              <w:spacing w:after="20" w:before="20"/>
            </w:pPr>
            <w:r>
              <w:rPr>
                <w:sz w:val="19"/>
                <w:szCs w:val="19"/>
              </w:rPr>
              <w:t xml:space="preserve">6</w:t>
            </w:r>
          </w:p>
        </w:tc>
        <w:tc>
          <w:tcPr>
            <w:tcW w:type="dxa" w:w="2340"/>
            <w:tcMar>
              <w:top w:type="dxa" w:w="60"/>
              <w:left w:type="dxa" w:w="90"/>
              <w:bottom w:type="dxa" w:w="60"/>
              <w:right w:type="dxa" w:w="90"/>
            </w:tcMar>
          </w:tcPr>
          <w:p>
            <w:pPr>
              <w:spacing w:after="20" w:before="20"/>
            </w:pPr>
            <w:r>
              <w:rPr>
                <w:sz w:val="19"/>
                <w:szCs w:val="19"/>
              </w:rPr>
              <w:t xml:space="preserve">Construcción del payload de guía y clase de etiquetas</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test09-access.php</w:t>
            </w:r>
          </w:p>
        </w:tc>
        <w:tc>
          <w:tcPr>
            <w:tcW w:type="dxa" w:w="2340"/>
            <w:tcMar>
              <w:top w:type="dxa" w:w="60"/>
              <w:left w:type="dxa" w:w="90"/>
              <w:bottom w:type="dxa" w:w="60"/>
              <w:right w:type="dxa" w:w="90"/>
            </w:tcMar>
          </w:tcPr>
          <w:p>
            <w:pPr>
              <w:spacing w:after="20" w:before="20"/>
            </w:pPr>
            <w:r>
              <w:rPr>
                <w:sz w:val="19"/>
                <w:szCs w:val="19"/>
              </w:rPr>
              <w:t xml:space="preserve">9</w:t>
            </w:r>
          </w:p>
        </w:tc>
        <w:tc>
          <w:tcPr>
            <w:tcW w:type="dxa" w:w="2340"/>
            <w:tcMar>
              <w:top w:type="dxa" w:w="60"/>
              <w:left w:type="dxa" w:w="90"/>
              <w:bottom w:type="dxa" w:w="60"/>
              <w:right w:type="dxa" w:w="90"/>
            </w:tcMar>
          </w:tcPr>
          <w:p>
            <w:pPr>
              <w:spacing w:after="20" w:before="20"/>
            </w:pPr>
            <w:r>
              <w:rPr>
                <w:b/>
                <w:bCs/>
                <w:sz w:val="19"/>
                <w:szCs w:val="19"/>
              </w:rPr>
              <w:t xml:space="preserve">Control de acceso a la guía</w:t>
            </w:r>
            <w:r>
              <w:rPr>
                <w:sz w:val="19"/>
                <w:szCs w:val="19"/>
              </w:rPr>
              <w:t xml:space="preserve"> (regresión de vulnerabilidad)</w:t>
            </w:r>
          </w:p>
        </w:tc>
        <w:tc>
          <w:tcPr>
            <w:tcW w:type="dxa" w:w="2340"/>
            <w:tcMar>
              <w:top w:type="dxa" w:w="60"/>
              <w:left w:type="dxa" w:w="90"/>
              <w:bottom w:type="dxa" w:w="60"/>
              <w:right w:type="dxa" w:w="90"/>
            </w:tcMar>
          </w:tcPr>
          <w:p>
            <w:pPr>
              <w:spacing w:after="20" w:before="20"/>
            </w:pPr>
            <w:r>
              <w:rPr>
                <w:sz w:val="19"/>
                <w:szCs w:val="19"/>
              </w:rPr>
              <w:t xml:space="preserve">PASS</w:t>
            </w:r>
          </w:p>
        </w:tc>
      </w:tr>
      <w:tr>
        <w:tc>
          <w:tcPr>
            <w:tcW w:type="dxa" w:w="234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test10-multivendor-label.php</w:t>
            </w:r>
          </w:p>
        </w:tc>
        <w:tc>
          <w:tcPr>
            <w:tcW w:type="dxa" w:w="2340"/>
            <w:tcMar>
              <w:top w:type="dxa" w:w="60"/>
              <w:left w:type="dxa" w:w="90"/>
              <w:bottom w:type="dxa" w:w="60"/>
              <w:right w:type="dxa" w:w="90"/>
            </w:tcMar>
          </w:tcPr>
          <w:p>
            <w:pPr>
              <w:spacing w:after="20" w:before="20"/>
            </w:pPr>
            <w:r>
              <w:rPr>
                <w:sz w:val="19"/>
                <w:szCs w:val="19"/>
              </w:rPr>
              <w:t xml:space="preserve">10</w:t>
            </w:r>
          </w:p>
        </w:tc>
        <w:tc>
          <w:tcPr>
            <w:tcW w:type="dxa" w:w="2340"/>
            <w:tcMar>
              <w:top w:type="dxa" w:w="60"/>
              <w:left w:type="dxa" w:w="90"/>
              <w:bottom w:type="dxa" w:w="60"/>
              <w:right w:type="dxa" w:w="90"/>
            </w:tcMar>
          </w:tcPr>
          <w:p>
            <w:pPr>
              <w:spacing w:after="20" w:before="20"/>
            </w:pPr>
            <w:r>
              <w:rPr>
                <w:b/>
                <w:bCs/>
                <w:sz w:val="19"/>
                <w:szCs w:val="19"/>
              </w:rPr>
              <w:t xml:space="preserve">Aislamiento de guías entre vendedores</w:t>
            </w:r>
            <w:r>
              <w:rPr>
                <w:sz w:val="19"/>
                <w:szCs w:val="19"/>
              </w:rPr>
              <w:t xml:space="preserve"> (regresión)</w:t>
            </w:r>
          </w:p>
        </w:tc>
        <w:tc>
          <w:tcPr>
            <w:tcW w:type="dxa" w:w="2340"/>
            <w:tcMar>
              <w:top w:type="dxa" w:w="60"/>
              <w:left w:type="dxa" w:w="90"/>
              <w:bottom w:type="dxa" w:w="60"/>
              <w:right w:type="dxa" w:w="90"/>
            </w:tcMar>
          </w:tcPr>
          <w:p>
            <w:pPr>
              <w:spacing w:after="20" w:before="20"/>
            </w:pPr>
            <w:r>
              <w:rPr>
                <w:sz w:val="19"/>
                <w:szCs w:val="19"/>
              </w:rPr>
              <w:t xml:space="preserve">PASS</w:t>
            </w:r>
          </w:p>
        </w:tc>
      </w:tr>
    </w:tbl>
    <w:p>
      <w:pPr>
        <w:spacing w:after="120"/>
      </w:pPr>
    </w:p>
    <w:p>
      <w:pPr>
        <w:spacing w:after="60" w:before="60" w:line="276"/>
        <w:jc w:val="both"/>
      </w:pPr>
      <w:r>
        <w:t xml:space="preserve">Los tests 09 y 10 se incorporaron en esta campaña de pruebas para cubrir los dos fallos de seguridad descritos en la sección 4.</w:t>
      </w:r>
    </w:p>
    <w:p>
      <w:pPr>
        <w:spacing w:after="60" w:before="60" w:line="276"/>
        <w:jc w:val="both"/>
      </w:pPr>
      <w:r>
        <w:t xml:space="preserve">Al módulo de IA, que no tenía ninguna prueba automatizada, se le construyó un suite propio:</w:t>
      </w:r>
    </w:p>
    <w:p>
      <w:pPr>
        <w:shd w:fill="F2F2F2" w:val="clear"/>
        <w:spacing w:after="100" w:before="100"/>
      </w:pPr>
      <w:r>
        <w:rPr>
          <w:rFonts w:ascii="Consolas" w:cs="Consolas" w:eastAsia="Consolas" w:hAnsi="Consolas"/>
          <w:sz w:val="18"/>
          <w:szCs w:val="18"/>
        </w:rPr>
        <w:t xml:space="preserve">C:\xampp\php\php.exe wp-content\plugins\wcfm-ai-assistant\tests\run-all.php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Test</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Qué valida</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Resultado</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test01-input.php</w:t>
            </w:r>
          </w:p>
        </w:tc>
        <w:tc>
          <w:tcPr>
            <w:tcW w:type="dxa" w:w="3120"/>
            <w:tcMar>
              <w:top w:type="dxa" w:w="60"/>
              <w:left w:type="dxa" w:w="90"/>
              <w:bottom w:type="dxa" w:w="60"/>
              <w:right w:type="dxa" w:w="90"/>
            </w:tcMar>
          </w:tcPr>
          <w:p>
            <w:pPr>
              <w:spacing w:after="20" w:before="20"/>
            </w:pPr>
            <w:r>
              <w:rPr>
                <w:sz w:val="19"/>
                <w:szCs w:val="19"/>
              </w:rPr>
              <w:t xml:space="preserve">Lista blanca de campos, topes de longitud, neutralización y validación de ajustes</w:t>
            </w:r>
          </w:p>
        </w:tc>
        <w:tc>
          <w:tcPr>
            <w:tcW w:type="dxa" w:w="3120"/>
            <w:tcMar>
              <w:top w:type="dxa" w:w="60"/>
              <w:left w:type="dxa" w:w="90"/>
              <w:bottom w:type="dxa" w:w="60"/>
              <w:right w:type="dxa" w:w="90"/>
            </w:tcMar>
          </w:tcPr>
          <w:p>
            <w:pPr>
              <w:spacing w:after="20" w:before="20"/>
            </w:pPr>
            <w:r>
              <w:rPr>
                <w:sz w:val="19"/>
                <w:szCs w:val="19"/>
              </w:rPr>
              <w:t xml:space="preserve">PASS</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test02-quota.php</w:t>
            </w:r>
          </w:p>
        </w:tc>
        <w:tc>
          <w:tcPr>
            <w:tcW w:type="dxa" w:w="3120"/>
            <w:tcMar>
              <w:top w:type="dxa" w:w="60"/>
              <w:left w:type="dxa" w:w="90"/>
              <w:bottom w:type="dxa" w:w="60"/>
              <w:right w:type="dxa" w:w="90"/>
            </w:tcMar>
          </w:tcPr>
          <w:p>
            <w:pPr>
              <w:spacing w:after="20" w:before="20"/>
            </w:pPr>
            <w:r>
              <w:rPr>
                <w:sz w:val="19"/>
                <w:szCs w:val="19"/>
              </w:rPr>
              <w:t xml:space="preserve">Reserva atómica de cuota y comportamiento bajo concurrencia</w:t>
            </w:r>
          </w:p>
        </w:tc>
        <w:tc>
          <w:tcPr>
            <w:tcW w:type="dxa" w:w="3120"/>
            <w:tcMar>
              <w:top w:type="dxa" w:w="60"/>
              <w:left w:type="dxa" w:w="90"/>
              <w:bottom w:type="dxa" w:w="60"/>
              <w:right w:type="dxa" w:w="90"/>
            </w:tcMar>
          </w:tcPr>
          <w:p>
            <w:pPr>
              <w:spacing w:after="20" w:before="20"/>
            </w:pPr>
            <w:r>
              <w:rPr>
                <w:sz w:val="19"/>
                <w:szCs w:val="19"/>
              </w:rPr>
              <w:t xml:space="preserve">PASS</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test03-prompt.php</w:t>
            </w:r>
          </w:p>
        </w:tc>
        <w:tc>
          <w:tcPr>
            <w:tcW w:type="dxa" w:w="3120"/>
            <w:tcMar>
              <w:top w:type="dxa" w:w="60"/>
              <w:left w:type="dxa" w:w="90"/>
              <w:bottom w:type="dxa" w:w="60"/>
              <w:right w:type="dxa" w:w="90"/>
            </w:tcMar>
          </w:tcPr>
          <w:p>
            <w:pPr>
              <w:spacing w:after="20" w:before="20"/>
            </w:pPr>
            <w:r>
              <w:rPr>
                <w:sz w:val="19"/>
                <w:szCs w:val="19"/>
              </w:rPr>
              <w:t xml:space="preserve">Delimitación del contenido del usuario y validación del proveedor</w:t>
            </w:r>
          </w:p>
        </w:tc>
        <w:tc>
          <w:tcPr>
            <w:tcW w:type="dxa" w:w="3120"/>
            <w:tcMar>
              <w:top w:type="dxa" w:w="60"/>
              <w:left w:type="dxa" w:w="90"/>
              <w:bottom w:type="dxa" w:w="60"/>
              <w:right w:type="dxa" w:w="90"/>
            </w:tcMar>
          </w:tcPr>
          <w:p>
            <w:pPr>
              <w:spacing w:after="20" w:before="20"/>
            </w:pPr>
            <w:r>
              <w:rPr>
                <w:sz w:val="19"/>
                <w:szCs w:val="19"/>
              </w:rPr>
              <w:t xml:space="preserve">PASS</w:t>
            </w:r>
          </w:p>
        </w:tc>
      </w:tr>
    </w:tbl>
    <w:p>
      <w:pPr>
        <w:spacing w:after="120"/>
      </w:pPr>
    </w:p>
    <w:p>
      <w:pPr>
        <w:spacing w:after="60" w:before="60" w:line="276"/>
        <w:jc w:val="both"/>
      </w:pPr>
      <w:r>
        <w:rPr>
          <w:b/>
          <w:bCs/>
        </w:rPr>
        <w:t xml:space="preserve">Total: 14 de 14 pruebas automatizadas aprobadas.</w:t>
      </w:r>
    </w:p>
    <w:p>
      <w:pPr>
        <w:spacing w:after="60" w:before="60" w:line="276"/>
        <w:jc w:val="both"/>
      </w:pPr>
      <w:r>
        <w:t xml:space="preserve">Un apunte metodológico: </w:t>
      </w:r>
      <w:r>
        <w:rPr>
          <w:rFonts w:ascii="Consolas" w:cs="Consolas" w:eastAsia="Consolas" w:hAnsi="Consolas"/>
          <w:shd w:fill="F2F2F2" w:val="clear"/>
        </w:rPr>
        <w:t xml:space="preserve">test03</w:t>
      </w:r>
      <w:r>
        <w:t xml:space="preserve"> </w:t>
      </w:r>
      <w:r>
        <w:rPr>
          <w:b/>
          <w:bCs/>
        </w:rPr>
        <w:t xml:space="preserve">falló en su primera ejecución</w:t>
      </w:r>
      <w:r>
        <w:t xml:space="preserve"> y detectó un defecto en la propia corrección recién escrita — las instrucciones de seguridad mencionaban los delimitadores de forma literal, lo que los duplicaba y volvía ambigua la frontera del bloque de datos. Se rediseñó usando un token aleatorio por petición. Es exactamente la función que debe cumplir una prueba de regresión: fallar cuando el arreglo es incorrecto.</w:t>
      </w:r>
    </w:p>
    <w:p>
      <w:pPr>
        <w:pStyle w:val="Heading3"/>
        <w:spacing w:after="120" w:before="240"/>
      </w:pPr>
      <w:r>
        <w:t xml:space="preserve">2.4 Reglas de negocio verificadas</w:t>
      </w:r>
    </w:p>
    <w:p>
      <w:pPr>
        <w:spacing w:after="60" w:before="60" w:line="276"/>
        <w:jc w:val="both"/>
      </w:pPr>
      <w:r>
        <w:t xml:space="preserve">El reparto del costo de envío (</w:t>
      </w:r>
      <w:r>
        <w:rPr>
          <w:rFonts w:ascii="Consolas" w:cs="Consolas" w:eastAsia="Consolas" w:hAnsi="Consolas"/>
          <w:shd w:fill="F2F2F2" w:val="clear"/>
        </w:rPr>
        <w:t xml:space="preserve">avs_calc_split</w:t>
      </w:r>
      <w:r>
        <w:t xml:space="preserve">) admite tres modos, todos cubiertos por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Modo</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Paga el cliente</w:t>
            </w:r>
          </w:p>
        </w:tc>
        <w:tc>
          <w:tcPr>
            <w:tcW w:type="dxa" w:w="3120"/>
            <w:shd w:fill="1F6F4A" w:val="clear"/>
            <w:tcMar>
              <w:top w:type="dxa" w:w="60"/>
              <w:left w:type="dxa" w:w="90"/>
              <w:bottom w:type="dxa" w:w="60"/>
              <w:right w:type="dxa" w:w="90"/>
            </w:tcMar>
          </w:tcPr>
          <w:p>
            <w:pPr>
              <w:spacing w:after="20" w:before="20"/>
            </w:pPr>
            <w:r>
              <w:rPr>
                <w:b/>
                <w:bCs/>
                <w:color w:val="FFFFFF"/>
                <w:sz w:val="19"/>
                <w:szCs w:val="19"/>
              </w:rPr>
              <w:t xml:space="preserve">Absorbe el vendedor</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customer_pays</w:t>
            </w:r>
          </w:p>
        </w:tc>
        <w:tc>
          <w:tcPr>
            <w:tcW w:type="dxa" w:w="3120"/>
            <w:tcMar>
              <w:top w:type="dxa" w:w="60"/>
              <w:left w:type="dxa" w:w="90"/>
              <w:bottom w:type="dxa" w:w="60"/>
              <w:right w:type="dxa" w:w="90"/>
            </w:tcMar>
          </w:tcPr>
          <w:p>
            <w:pPr>
              <w:spacing w:after="20" w:before="20"/>
            </w:pPr>
            <w:r>
              <w:rPr>
                <w:sz w:val="19"/>
                <w:szCs w:val="19"/>
              </w:rPr>
              <w:t xml:space="preserve">Costo cotizado completo</w:t>
            </w:r>
          </w:p>
        </w:tc>
        <w:tc>
          <w:tcPr>
            <w:tcW w:type="dxa" w:w="3120"/>
            <w:tcMar>
              <w:top w:type="dxa" w:w="60"/>
              <w:left w:type="dxa" w:w="90"/>
              <w:bottom w:type="dxa" w:w="60"/>
              <w:right w:type="dxa" w:w="90"/>
            </w:tcMar>
          </w:tcPr>
          <w:p>
            <w:pPr>
              <w:spacing w:after="20" w:before="20"/>
            </w:pPr>
            <w:r>
              <w:rPr>
                <w:sz w:val="19"/>
                <w:szCs w:val="19"/>
              </w:rPr>
              <w:t xml:space="preserve">Nada</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vendor_absorbs</w:t>
            </w:r>
          </w:p>
        </w:tc>
        <w:tc>
          <w:tcPr>
            <w:tcW w:type="dxa" w:w="3120"/>
            <w:tcMar>
              <w:top w:type="dxa" w:w="60"/>
              <w:left w:type="dxa" w:w="90"/>
              <w:bottom w:type="dxa" w:w="60"/>
              <w:right w:type="dxa" w:w="90"/>
            </w:tcMar>
          </w:tcPr>
          <w:p>
            <w:pPr>
              <w:spacing w:after="20" w:before="20"/>
            </w:pPr>
            <w:r>
              <w:rPr>
                <w:sz w:val="19"/>
                <w:szCs w:val="19"/>
              </w:rPr>
              <w:t xml:space="preserve">Nada (envío gratis)</w:t>
            </w:r>
          </w:p>
        </w:tc>
        <w:tc>
          <w:tcPr>
            <w:tcW w:type="dxa" w:w="3120"/>
            <w:tcMar>
              <w:top w:type="dxa" w:w="60"/>
              <w:left w:type="dxa" w:w="90"/>
              <w:bottom w:type="dxa" w:w="60"/>
              <w:right w:type="dxa" w:w="90"/>
            </w:tcMar>
          </w:tcPr>
          <w:p>
            <w:pPr>
              <w:spacing w:after="20" w:before="20"/>
            </w:pPr>
            <w:r>
              <w:rPr>
                <w:sz w:val="19"/>
                <w:szCs w:val="19"/>
              </w:rPr>
              <w:t xml:space="preserve">Costo cotizado completo</w:t>
            </w:r>
          </w:p>
        </w:tc>
      </w:tr>
      <w:tr>
        <w:tc>
          <w:tcPr>
            <w:tcW w:type="dxa" w:w="312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shared_fixed</w:t>
            </w:r>
          </w:p>
        </w:tc>
        <w:tc>
          <w:tcPr>
            <w:tcW w:type="dxa" w:w="3120"/>
            <w:tcMar>
              <w:top w:type="dxa" w:w="60"/>
              <w:left w:type="dxa" w:w="90"/>
              <w:bottom w:type="dxa" w:w="60"/>
              <w:right w:type="dxa" w:w="90"/>
            </w:tcMar>
          </w:tcPr>
          <w:p>
            <w:pPr>
              <w:spacing w:after="20" w:before="20"/>
            </w:pPr>
            <w:r>
              <w:rPr>
                <w:sz w:val="19"/>
                <w:szCs w:val="19"/>
              </w:rPr>
              <w:t xml:space="preserve">Tarifa fija configurada</w:t>
            </w:r>
          </w:p>
        </w:tc>
        <w:tc>
          <w:tcPr>
            <w:tcW w:type="dxa" w:w="3120"/>
            <w:tcMar>
              <w:top w:type="dxa" w:w="60"/>
              <w:left w:type="dxa" w:w="90"/>
              <w:bottom w:type="dxa" w:w="60"/>
              <w:right w:type="dxa" w:w="90"/>
            </w:tcMar>
          </w:tcPr>
          <w:p>
            <w:pPr>
              <w:spacing w:after="20" w:before="20"/>
            </w:pPr>
            <w:r>
              <w:rPr>
                <w:sz w:val="19"/>
                <w:szCs w:val="19"/>
              </w:rPr>
              <w:t xml:space="preserve">La diferencia</w:t>
            </w:r>
          </w:p>
        </w:tc>
      </w:tr>
    </w:tbl>
    <w:p>
      <w:pPr>
        <w:spacing w:after="120"/>
      </w:pPr>
    </w:p>
    <w:p>
      <w:pPr>
        <w:spacing w:after="60" w:before="60" w:line="276"/>
        <w:jc w:val="both"/>
      </w:pPr>
      <w:r>
        <w:t xml:space="preserve">Se verificó una invariante importante: en </w:t>
      </w:r>
      <w:r>
        <w:rPr>
          <w:rFonts w:ascii="Consolas" w:cs="Consolas" w:eastAsia="Consolas" w:hAnsi="Consolas"/>
          <w:shd w:fill="F2F2F2" w:val="clear"/>
        </w:rPr>
        <w:t xml:space="preserve">shared_fixed</w:t>
      </w:r>
      <w:r>
        <w:t xml:space="preserve">, </w:t>
      </w:r>
      <w:r>
        <w:rPr>
          <w:b/>
          <w:bCs/>
        </w:rPr>
        <w:t xml:space="preserve">el cliente nunca paga más que el costo real</w:t>
      </w:r>
      <w:r>
        <w:t xml:space="preserve"> del envío, aunque la tarifa fija configurada sea superior.</w:t>
      </w:r>
    </w:p>
    <w:p>
      <w:pPr>
        <w:pStyle w:val="Heading3"/>
        <w:spacing w:after="120" w:before="240"/>
      </w:pPr>
      <w:r>
        <w:t xml:space="preserve">2.5 Pruebas manuales de extremo a extremo</w:t>
      </w:r>
    </w:p>
    <w:p>
      <w:pPr>
        <w:spacing w:after="60" w:before="60" w:line="276"/>
        <w:jc w:val="both"/>
      </w:pPr>
      <w:r>
        <w:t xml:space="preserve">Los flujos que dependen de la interfaz o de la API real de Envia se cubren con listas de verificación manuales, documentadas en el repositorio:</w:t>
      </w:r>
    </w:p>
    <w:p>
      <w:pPr>
        <w:pStyle w:val="ListParagraph"/>
        <w:numPr>
          <w:ilvl w:val="0"/>
          <w:numId w:val="1"/>
        </w:numPr>
        <w:spacing w:after="40" w:before="40"/>
      </w:pPr>
      <w:r>
        <w:rPr>
          <w:rFonts w:ascii="Consolas" w:cs="Consolas" w:eastAsia="Consolas" w:hAnsi="Consolas"/>
          <w:shd w:fill="F2F2F2" w:val="clear"/>
        </w:rPr>
        <w:t xml:space="preserve">tests/test02b-checkout-manual.md</w:t>
      </w:r>
      <w:r>
        <w:t xml:space="preserve"> — aplicación del modo de cobro en el checkout.</w:t>
      </w:r>
    </w:p>
    <w:p>
      <w:pPr>
        <w:pStyle w:val="ListParagraph"/>
        <w:numPr>
          <w:ilvl w:val="0"/>
          <w:numId w:val="1"/>
        </w:numPr>
        <w:spacing w:after="40" w:before="40"/>
      </w:pPr>
      <w:r>
        <w:rPr>
          <w:rFonts w:ascii="Consolas" w:cs="Consolas" w:eastAsia="Consolas" w:hAnsi="Consolas"/>
          <w:shd w:fill="F2F2F2" w:val="clear"/>
        </w:rPr>
        <w:t xml:space="preserve">tests/test04b-guide-manual.md</w:t>
      </w:r>
      <w:r>
        <w:t xml:space="preserve"> — botón de guía en el panel del vendedor.</w:t>
      </w:r>
    </w:p>
    <w:p>
      <w:pPr>
        <w:pStyle w:val="ListParagraph"/>
        <w:numPr>
          <w:ilvl w:val="0"/>
          <w:numId w:val="1"/>
        </w:numPr>
        <w:spacing w:after="40" w:before="40"/>
      </w:pPr>
      <w:r>
        <w:rPr>
          <w:rFonts w:ascii="Consolas" w:cs="Consolas" w:eastAsia="Consolas" w:hAnsi="Consolas"/>
          <w:shd w:fill="F2F2F2" w:val="clear"/>
        </w:rPr>
        <w:t xml:space="preserve">tests/test06b-origin-manual.md</w:t>
      </w:r>
      <w:r>
        <w:t xml:space="preserve"> — sincronización del origen del vendedor con Envia.</w:t>
      </w:r>
    </w:p>
    <w:p>
      <w:pPr>
        <w:pStyle w:val="ListParagraph"/>
        <w:numPr>
          <w:ilvl w:val="0"/>
          <w:numId w:val="1"/>
        </w:numPr>
        <w:spacing w:after="40" w:before="40"/>
      </w:pPr>
      <w:r>
        <w:rPr>
          <w:rFonts w:ascii="Consolas" w:cs="Consolas" w:eastAsia="Consolas" w:hAnsi="Consolas"/>
          <w:shd w:fill="F2F2F2" w:val="clear"/>
        </w:rPr>
        <w:t xml:space="preserve">tests/test07b-carrier-manual.md</w:t>
      </w:r>
      <w:r>
        <w:t xml:space="preserve"> — filtro de transportadora por vendedor.</w:t>
      </w:r>
    </w:p>
    <w:p>
      <w:pPr>
        <w:pStyle w:val="ListParagraph"/>
        <w:numPr>
          <w:ilvl w:val="0"/>
          <w:numId w:val="1"/>
        </w:numPr>
        <w:spacing w:after="40" w:before="40"/>
      </w:pPr>
      <w:r>
        <w:rPr>
          <w:rFonts w:ascii="Consolas" w:cs="Consolas" w:eastAsia="Consolas" w:hAnsi="Consolas"/>
          <w:shd w:fill="F2F2F2" w:val="clear"/>
        </w:rPr>
        <w:t xml:space="preserve">tests/test08b-label-manual.md</w:t>
      </w:r>
      <w:r>
        <w:t xml:space="preserve"> — generación real de la guía contra la API de Envia.</w:t>
      </w:r>
    </w:p>
    <w:p>
      <w:pPr>
        <w:pStyle w:val="Heading3"/>
        <w:spacing w:after="120" w:before="240"/>
      </w:pPr>
      <w:r>
        <w:t xml:space="preserve">2.6 Limitación conocida del entorno</w:t>
      </w:r>
    </w:p>
    <w:p>
      <w:pPr>
        <w:spacing w:after="60" w:before="60" w:line="276"/>
        <w:jc w:val="both"/>
      </w:pPr>
      <w:r>
        <w:t xml:space="preserve">Actualmente </w:t>
      </w:r>
      <w:r>
        <w:rPr>
          <w:b/>
          <w:bCs/>
        </w:rPr>
        <w:t xml:space="preserve">ningún pedido utiliza el método `envia_shipping`</w:t>
      </w:r>
      <w:r>
        <w:t xml:space="preserve">. La cotización automática está bloqueada por configuración en el panel de Envia Ecommerce Pro (no por código): falta crear una regla de envío automático y activar el conmutador de </w:t>
      </w:r>
      <w:r>
        <w:rPr>
          <w:i/>
          <w:iCs/>
        </w:rPr>
        <w:t xml:space="preserve">cotización automática en el checkout</w:t>
      </w:r>
      <w:r>
        <w:t xml:space="preserve">. Mientras eso siga así, los flujos de guía solo pueden ejercitarse de forma sintética, como hace </w:t>
      </w:r>
      <w:r>
        <w:rPr>
          <w:rFonts w:ascii="Consolas" w:cs="Consolas" w:eastAsia="Consolas" w:hAnsi="Consolas"/>
          <w:shd w:fill="F2F2F2" w:val="clear"/>
        </w:rPr>
        <w:t xml:space="preserve">test10</w:t>
      </w:r>
      <w:r>
        <w:t xml:space="preserve">.</w:t>
      </w:r>
    </w:p>
    <w:p>
      <w:pPr>
        <w:pBdr>
          <w:bottom w:val="single" w:color="D0D0D0" w:sz="6"/>
        </w:pBdr>
        <w:spacing w:after="120" w:before="80"/>
      </w:pPr>
    </w:p>
    <w:p>
      <w:pPr>
        <w:pStyle w:val="Heading2"/>
        <w:spacing w:after="120" w:before="240"/>
      </w:pPr>
      <w:r>
        <w:t xml:space="preserve">3. Pruebas de usabilidad</w:t>
      </w:r>
    </w:p>
    <w:p>
      <w:pPr>
        <w:pStyle w:val="Heading3"/>
        <w:spacing w:after="120" w:before="240"/>
      </w:pPr>
      <w:r>
        <w:t xml:space="preserve">3.1 Método</w:t>
      </w:r>
    </w:p>
    <w:p>
      <w:pPr>
        <w:spacing w:after="60" w:before="60" w:line="276"/>
        <w:jc w:val="both"/>
      </w:pPr>
      <w:r>
        <w:t xml:space="preserve">Se recorrieron las tareas principales de cada rol siguiendo las guías de usuario del proyecto, evaluando claridad de los mensajes, número de pasos y capacidad de recuperación ante el error.</w:t>
      </w:r>
    </w:p>
    <w:p>
      <w:pPr>
        <w:pStyle w:val="Heading3"/>
        <w:spacing w:after="120" w:before="240"/>
      </w:pPr>
      <w:r>
        <w:t xml:space="preserve">3.2 Hallazgos por rol</w:t>
      </w:r>
    </w:p>
    <w:p>
      <w:pPr>
        <w:spacing w:after="60" w:before="60" w:line="276"/>
        <w:jc w:val="both"/>
      </w:pPr>
      <w:r>
        <w:rPr>
          <w:b/>
          <w:bCs/>
        </w:rPr>
        <w:t xml:space="preserve">Administrador.</w:t>
      </w:r>
      <w:r>
        <w:t xml:space="preserve"> La configuración de envíos está centralizada en una única pantalla (</w:t>
      </w:r>
      <w:r>
        <w:rPr>
          <w:i/>
          <w:iCs/>
        </w:rPr>
        <w:t xml:space="preserve">WooCommerce → Envíos Amazonia</w:t>
      </w:r>
      <w:r>
        <w:t xml:space="preserve">), lo cual es acertado. Se valoró positivamente que el campo de API key muestre un indicador explícito de estado (</w:t>
      </w:r>
      <w:r>
        <w:rPr>
          <w:i/>
          <w:iCs/>
        </w:rPr>
        <w:t xml:space="preserve">"✓ Configurada"</w:t>
      </w:r>
      <w:r>
        <w:t xml:space="preserve"> / </w:t>
      </w:r>
      <w:r>
        <w:rPr>
          <w:i/>
          <w:iCs/>
        </w:rPr>
        <w:t xml:space="preserve">"✗ Falta configurarla"</w:t>
      </w:r>
      <w:r>
        <w:t xml:space="preserve">), en lugar de dejar al administrador adivinar si el valor quedó guardado.</w:t>
      </w:r>
    </w:p>
    <w:p>
      <w:pPr>
        <w:spacing w:after="60" w:before="60" w:line="276"/>
        <w:jc w:val="both"/>
      </w:pPr>
      <w:r>
        <w:rPr>
          <w:b/>
          <w:bCs/>
        </w:rPr>
        <w:t xml:space="preserve">Vendedor.</w:t>
      </w:r>
      <w:r>
        <w:t xml:space="preserve"> El flujo de generación de guía pide confirmación explícita antes de actuar, con un mensaje que advierte de la consecuencia real: </w:t>
      </w:r>
      <w:r>
        <w:rPr>
          <w:i/>
          <w:iCs/>
        </w:rPr>
        <w:t xml:space="preserve">"Esto crea un envío real con la transportadora y consume saldo de la cuenta de Envia"</w:t>
      </w:r>
      <w:r>
        <w:t xml:space="preserve">. Es el comportamiento correcto para una acción irreversible y con costo.</w:t>
      </w:r>
    </w:p>
    <w:p>
      <w:pPr>
        <w:spacing w:after="60" w:before="60" w:line="276"/>
        <w:jc w:val="both"/>
      </w:pPr>
      <w:r>
        <w:rPr>
          <w:b/>
          <w:bCs/>
        </w:rPr>
        <w:t xml:space="preserve">Cliente.</w:t>
      </w:r>
      <w:r>
        <w:t xml:space="preserve"> Se verificó que, cuando un vendedor no tiene un origen de envío válido, el checkout </w:t>
      </w:r>
      <w:r>
        <w:rPr>
          <w:b/>
          <w:bCs/>
        </w:rPr>
        <w:t xml:space="preserve">se bloquea con un aviso explícito</w:t>
      </w:r>
      <w:r>
        <w:t xml:space="preserve"> en lugar de dejar al cliente ante una lista de envíos vacía sin explicación.</w:t>
      </w:r>
    </w:p>
    <w:p>
      <w:pPr>
        <w:pStyle w:val="Heading3"/>
        <w:spacing w:after="120" w:before="240"/>
      </w:pPr>
      <w:r>
        <w:t xml:space="preserve">3.3 Fricciones detectadas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Observación</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Severidad</w:t>
            </w:r>
          </w:p>
        </w:tc>
        <w:tc>
          <w:tcPr>
            <w:tcW w:type="dxa" w:w="2340"/>
            <w:shd w:fill="1F6F4A" w:val="clear"/>
            <w:tcMar>
              <w:top w:type="dxa" w:w="60"/>
              <w:left w:type="dxa" w:w="90"/>
              <w:bottom w:type="dxa" w:w="60"/>
              <w:right w:type="dxa" w:w="90"/>
            </w:tcMar>
          </w:tcPr>
          <w:p>
            <w:pPr>
              <w:spacing w:after="20" w:before="20"/>
            </w:pPr>
            <w:r>
              <w:rPr>
                <w:b/>
                <w:bCs/>
                <w:color w:val="FFFFFF"/>
                <w:sz w:val="19"/>
                <w:szCs w:val="19"/>
              </w:rPr>
              <w:t xml:space="preserve">Recomendación</w:t>
            </w:r>
          </w:p>
        </w:tc>
      </w:tr>
      <w:tr>
        <w:tc>
          <w:tcPr>
            <w:tcW w:type="dxa" w:w="2340"/>
            <w:tcMar>
              <w:top w:type="dxa" w:w="60"/>
              <w:left w:type="dxa" w:w="90"/>
              <w:bottom w:type="dxa" w:w="60"/>
              <w:right w:type="dxa" w:w="90"/>
            </w:tcMar>
          </w:tcPr>
          <w:p>
            <w:pPr>
              <w:spacing w:after="20" w:before="20"/>
            </w:pPr>
            <w:r>
              <w:rPr>
                <w:sz w:val="19"/>
                <w:szCs w:val="19"/>
              </w:rPr>
              <w:t xml:space="preserve">U-1</w:t>
            </w:r>
          </w:p>
        </w:tc>
        <w:tc>
          <w:tcPr>
            <w:tcW w:type="dxa" w:w="2340"/>
            <w:tcMar>
              <w:top w:type="dxa" w:w="60"/>
              <w:left w:type="dxa" w:w="90"/>
              <w:bottom w:type="dxa" w:w="60"/>
              <w:right w:type="dxa" w:w="90"/>
            </w:tcMar>
          </w:tcPr>
          <w:p>
            <w:pPr>
              <w:spacing w:after="20" w:before="20"/>
            </w:pPr>
            <w:r>
              <w:rPr>
                <w:sz w:val="19"/>
                <w:szCs w:val="19"/>
              </w:rPr>
              <w:t xml:space="preserve">WooCommerce solo dibuja los botones de selección de envío cuando hay dos o más tarifas. Con una sola opción, el cliente no percibe que exista elección.</w:t>
            </w:r>
          </w:p>
        </w:tc>
        <w:tc>
          <w:tcPr>
            <w:tcW w:type="dxa" w:w="2340"/>
            <w:tcMar>
              <w:top w:type="dxa" w:w="60"/>
              <w:left w:type="dxa" w:w="90"/>
              <w:bottom w:type="dxa" w:w="60"/>
              <w:right w:type="dxa" w:w="90"/>
            </w:tcMar>
          </w:tcPr>
          <w:p>
            <w:pPr>
              <w:spacing w:after="20" w:before="20"/>
            </w:pPr>
            <w:r>
              <w:rPr>
                <w:sz w:val="19"/>
                <w:szCs w:val="19"/>
              </w:rPr>
              <w:t xml:space="preserve">Baja</w:t>
            </w:r>
          </w:p>
        </w:tc>
        <w:tc>
          <w:tcPr>
            <w:tcW w:type="dxa" w:w="2340"/>
            <w:tcMar>
              <w:top w:type="dxa" w:w="60"/>
              <w:left w:type="dxa" w:w="90"/>
              <w:bottom w:type="dxa" w:w="60"/>
              <w:right w:type="dxa" w:w="90"/>
            </w:tcMar>
          </w:tcPr>
          <w:p>
            <w:pPr>
              <w:spacing w:after="20" w:before="20"/>
            </w:pPr>
            <w:r>
              <w:rPr>
                <w:sz w:val="19"/>
                <w:szCs w:val="19"/>
              </w:rPr>
              <w:t xml:space="preserve">Comportamiento del núcleo; documentar, no parchear.</w:t>
            </w:r>
          </w:p>
        </w:tc>
      </w:tr>
      <w:tr>
        <w:tc>
          <w:tcPr>
            <w:tcW w:type="dxa" w:w="2340"/>
            <w:tcMar>
              <w:top w:type="dxa" w:w="60"/>
              <w:left w:type="dxa" w:w="90"/>
              <w:bottom w:type="dxa" w:w="60"/>
              <w:right w:type="dxa" w:w="90"/>
            </w:tcMar>
          </w:tcPr>
          <w:p>
            <w:pPr>
              <w:spacing w:after="20" w:before="20"/>
            </w:pPr>
            <w:r>
              <w:rPr>
                <w:sz w:val="19"/>
                <w:szCs w:val="19"/>
              </w:rPr>
              <w:t xml:space="preserve">U-2</w:t>
            </w:r>
          </w:p>
        </w:tc>
        <w:tc>
          <w:tcPr>
            <w:tcW w:type="dxa" w:w="2340"/>
            <w:tcMar>
              <w:top w:type="dxa" w:w="60"/>
              <w:left w:type="dxa" w:w="90"/>
              <w:bottom w:type="dxa" w:w="60"/>
              <w:right w:type="dxa" w:w="90"/>
            </w:tcMar>
          </w:tcPr>
          <w:p>
            <w:pPr>
              <w:spacing w:after="20" w:before="20"/>
            </w:pPr>
            <w:r>
              <w:rPr>
                <w:sz w:val="19"/>
                <w:szCs w:val="19"/>
              </w:rPr>
              <w:t xml:space="preserve">Productos sin peso ni dimensiones producen tarifas imprecisas (Envia asume valores por defecto).</w:t>
            </w:r>
          </w:p>
        </w:tc>
        <w:tc>
          <w:tcPr>
            <w:tcW w:type="dxa" w:w="2340"/>
            <w:tcMar>
              <w:top w:type="dxa" w:w="60"/>
              <w:left w:type="dxa" w:w="90"/>
              <w:bottom w:type="dxa" w:w="60"/>
              <w:right w:type="dxa" w:w="90"/>
            </w:tcMar>
          </w:tcPr>
          <w:p>
            <w:pPr>
              <w:spacing w:after="20" w:before="20"/>
            </w:pPr>
            <w:r>
              <w:rPr>
                <w:sz w:val="19"/>
                <w:szCs w:val="19"/>
              </w:rPr>
              <w:t xml:space="preserve">Media</w:t>
            </w:r>
          </w:p>
        </w:tc>
        <w:tc>
          <w:tcPr>
            <w:tcW w:type="dxa" w:w="2340"/>
            <w:tcMar>
              <w:top w:type="dxa" w:w="60"/>
              <w:left w:type="dxa" w:w="90"/>
              <w:bottom w:type="dxa" w:w="60"/>
              <w:right w:type="dxa" w:w="90"/>
            </w:tcMar>
          </w:tcPr>
          <w:p>
            <w:pPr>
              <w:spacing w:after="20" w:before="20"/>
            </w:pPr>
            <w:r>
              <w:rPr>
                <w:sz w:val="19"/>
                <w:szCs w:val="19"/>
              </w:rPr>
              <w:t xml:space="preserve">Hacer obligatorios peso y medidas al publicar un producto.</w:t>
            </w:r>
          </w:p>
        </w:tc>
      </w:tr>
      <w:tr>
        <w:tc>
          <w:tcPr>
            <w:tcW w:type="dxa" w:w="2340"/>
            <w:tcMar>
              <w:top w:type="dxa" w:w="60"/>
              <w:left w:type="dxa" w:w="90"/>
              <w:bottom w:type="dxa" w:w="60"/>
              <w:right w:type="dxa" w:w="90"/>
            </w:tcMar>
          </w:tcPr>
          <w:p>
            <w:pPr>
              <w:spacing w:after="20" w:before="20"/>
            </w:pPr>
            <w:r>
              <w:rPr>
                <w:sz w:val="19"/>
                <w:szCs w:val="19"/>
              </w:rPr>
              <w:t xml:space="preserve">U-3</w:t>
            </w:r>
          </w:p>
        </w:tc>
        <w:tc>
          <w:tcPr>
            <w:tcW w:type="dxa" w:w="2340"/>
            <w:tcMar>
              <w:top w:type="dxa" w:w="60"/>
              <w:left w:type="dxa" w:w="90"/>
              <w:bottom w:type="dxa" w:w="60"/>
              <w:right w:type="dxa" w:w="90"/>
            </w:tcMar>
          </w:tcPr>
          <w:p>
            <w:pPr>
              <w:spacing w:after="20" w:before="20"/>
            </w:pPr>
            <w:r>
              <w:rPr>
                <w:sz w:val="19"/>
                <w:szCs w:val="19"/>
              </w:rPr>
              <w:t xml:space="preserve">El mensaje de error de la API de Envia se muestra al vendedor tal cual lo devuelve el proveedor, en inglés y con jerga técnica.</w:t>
            </w:r>
          </w:p>
        </w:tc>
        <w:tc>
          <w:tcPr>
            <w:tcW w:type="dxa" w:w="2340"/>
            <w:tcMar>
              <w:top w:type="dxa" w:w="60"/>
              <w:left w:type="dxa" w:w="90"/>
              <w:bottom w:type="dxa" w:w="60"/>
              <w:right w:type="dxa" w:w="90"/>
            </w:tcMar>
          </w:tcPr>
          <w:p>
            <w:pPr>
              <w:spacing w:after="20" w:before="20"/>
            </w:pPr>
            <w:r>
              <w:rPr>
                <w:sz w:val="19"/>
                <w:szCs w:val="19"/>
              </w:rPr>
              <w:t xml:space="preserve">Media</w:t>
            </w:r>
          </w:p>
        </w:tc>
        <w:tc>
          <w:tcPr>
            <w:tcW w:type="dxa" w:w="2340"/>
            <w:tcMar>
              <w:top w:type="dxa" w:w="60"/>
              <w:left w:type="dxa" w:w="90"/>
              <w:bottom w:type="dxa" w:w="60"/>
              <w:right w:type="dxa" w:w="90"/>
            </w:tcMar>
          </w:tcPr>
          <w:p>
            <w:pPr>
              <w:spacing w:after="20" w:before="20"/>
            </w:pPr>
            <w:r>
              <w:rPr>
                <w:sz w:val="19"/>
                <w:szCs w:val="19"/>
              </w:rPr>
              <w:t xml:space="preserve">Traducir y simplificar los errores más frecuentes.</w:t>
            </w:r>
          </w:p>
        </w:tc>
      </w:tr>
    </w:tbl>
    <w:p>
      <w:pPr>
        <w:spacing w:after="120"/>
      </w:pPr>
    </w:p>
    <w:p>
      <w:pPr>
        <w:pBdr>
          <w:bottom w:val="single" w:color="D0D0D0" w:sz="6"/>
        </w:pBdr>
        <w:spacing w:after="120" w:before="80"/>
      </w:pPr>
    </w:p>
    <w:p>
      <w:pPr>
        <w:pStyle w:val="Heading2"/>
        <w:spacing w:after="120" w:before="240"/>
      </w:pPr>
      <w:r>
        <w:t xml:space="preserve">4. Pruebas de seguridad</w:t>
      </w:r>
    </w:p>
    <w:p>
      <w:pPr>
        <w:pStyle w:val="Heading3"/>
        <w:spacing w:after="120" w:before="240"/>
      </w:pPr>
      <w:r>
        <w:t xml:space="preserve">4.1 Método</w:t>
      </w:r>
    </w:p>
    <w:p>
      <w:pPr>
        <w:spacing w:after="60" w:before="60" w:line="276"/>
        <w:jc w:val="both"/>
      </w:pPr>
      <w:r>
        <w:t xml:space="preserve">Revisión manual del código propio orientada a los riesgos reales de un marketplace multivendedor: control de acceso entre vendedores, exposición de credenciales, validación de entradas, escapado de salidas e idempotencia de operaciones con costo económico. Las hipótesis se confirmaron ejecutando código contra la base de datos real.</w:t>
      </w:r>
    </w:p>
    <w:p>
      <w:pPr>
        <w:pStyle w:val="Heading3"/>
        <w:spacing w:after="120" w:before="240"/>
      </w:pPr>
      <w:r>
        <w:t xml:space="preserve">4.2 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6F4A" w:val="clear"/>
            <w:tcMar>
              <w:top w:type="dxa" w:w="60"/>
              <w:left w:type="dxa" w:w="90"/>
              <w:bottom w:type="dxa" w:w="60"/>
              <w:right w:type="dxa" w:w="90"/>
            </w:tcMar>
          </w:tcPr>
          <w:p>
            <w:pPr>
              <w:spacing w:after="20" w:before="20"/>
            </w:pPr>
            <w:r>
              <w:rPr>
                <w:b/>
                <w:bCs/>
                <w:color w:val="FFFFFF"/>
                <w:sz w:val="19"/>
                <w:szCs w:val="19"/>
              </w:rPr>
              <w:t xml:space="preserve">ID</w:t>
            </w:r>
          </w:p>
        </w:tc>
        <w:tc>
          <w:tcPr>
            <w:tcW w:type="dxa" w:w="1872"/>
            <w:shd w:fill="1F6F4A" w:val="clear"/>
            <w:tcMar>
              <w:top w:type="dxa" w:w="60"/>
              <w:left w:type="dxa" w:w="90"/>
              <w:bottom w:type="dxa" w:w="60"/>
              <w:right w:type="dxa" w:w="90"/>
            </w:tcMar>
          </w:tcPr>
          <w:p>
            <w:pPr>
              <w:spacing w:after="20" w:before="20"/>
            </w:pPr>
            <w:r>
              <w:rPr>
                <w:b/>
                <w:bCs/>
                <w:color w:val="FFFFFF"/>
                <w:sz w:val="19"/>
                <w:szCs w:val="19"/>
              </w:rPr>
              <w:t xml:space="preserve">Hallazgo</w:t>
            </w:r>
          </w:p>
        </w:tc>
        <w:tc>
          <w:tcPr>
            <w:tcW w:type="dxa" w:w="1872"/>
            <w:shd w:fill="1F6F4A" w:val="clear"/>
            <w:tcMar>
              <w:top w:type="dxa" w:w="60"/>
              <w:left w:type="dxa" w:w="90"/>
              <w:bottom w:type="dxa" w:w="60"/>
              <w:right w:type="dxa" w:w="90"/>
            </w:tcMar>
          </w:tcPr>
          <w:p>
            <w:pPr>
              <w:spacing w:after="20" w:before="20"/>
            </w:pPr>
            <w:r>
              <w:rPr>
                <w:b/>
                <w:bCs/>
                <w:color w:val="FFFFFF"/>
                <w:sz w:val="19"/>
                <w:szCs w:val="19"/>
              </w:rPr>
              <w:t xml:space="preserve">Componente</w:t>
            </w:r>
          </w:p>
        </w:tc>
        <w:tc>
          <w:tcPr>
            <w:tcW w:type="dxa" w:w="1872"/>
            <w:shd w:fill="1F6F4A" w:val="clear"/>
            <w:tcMar>
              <w:top w:type="dxa" w:w="60"/>
              <w:left w:type="dxa" w:w="90"/>
              <w:bottom w:type="dxa" w:w="60"/>
              <w:right w:type="dxa" w:w="90"/>
            </w:tcMar>
          </w:tcPr>
          <w:p>
            <w:pPr>
              <w:spacing w:after="20" w:before="20"/>
            </w:pPr>
            <w:r>
              <w:rPr>
                <w:b/>
                <w:bCs/>
                <w:color w:val="FFFFFF"/>
                <w:sz w:val="19"/>
                <w:szCs w:val="19"/>
              </w:rPr>
              <w:t xml:space="preserve">Severidad</w:t>
            </w:r>
          </w:p>
        </w:tc>
        <w:tc>
          <w:tcPr>
            <w:tcW w:type="dxa" w:w="1872"/>
            <w:shd w:fill="1F6F4A" w:val="clear"/>
            <w:tcMar>
              <w:top w:type="dxa" w:w="60"/>
              <w:left w:type="dxa" w:w="90"/>
              <w:bottom w:type="dxa" w:w="60"/>
              <w:right w:type="dxa" w:w="90"/>
            </w:tcMar>
          </w:tcPr>
          <w:p>
            <w:pPr>
              <w:spacing w:after="20" w:before="20"/>
            </w:pPr>
            <w:r>
              <w:rPr>
                <w:b/>
                <w:bCs/>
                <w:color w:val="FFFFFF"/>
                <w:sz w:val="19"/>
                <w:szCs w:val="19"/>
              </w:rPr>
              <w:t xml:space="preserve">Estado</w:t>
            </w:r>
          </w:p>
        </w:tc>
      </w:tr>
      <w:tr>
        <w:tc>
          <w:tcPr>
            <w:tcW w:type="dxa" w:w="1872"/>
            <w:tcMar>
              <w:top w:type="dxa" w:w="60"/>
              <w:left w:type="dxa" w:w="90"/>
              <w:bottom w:type="dxa" w:w="60"/>
              <w:right w:type="dxa" w:w="90"/>
            </w:tcMar>
          </w:tcPr>
          <w:p>
            <w:pPr>
              <w:spacing w:after="20" w:before="20"/>
            </w:pPr>
            <w:r>
              <w:rPr>
                <w:sz w:val="19"/>
                <w:szCs w:val="19"/>
              </w:rPr>
              <w:t xml:space="preserve">S-1</w:t>
            </w:r>
          </w:p>
        </w:tc>
        <w:tc>
          <w:tcPr>
            <w:tcW w:type="dxa" w:w="1872"/>
            <w:tcMar>
              <w:top w:type="dxa" w:w="60"/>
              <w:left w:type="dxa" w:w="90"/>
              <w:bottom w:type="dxa" w:w="60"/>
              <w:right w:type="dxa" w:w="90"/>
            </w:tcMar>
          </w:tcPr>
          <w:p>
            <w:pPr>
              <w:spacing w:after="20" w:before="20"/>
            </w:pPr>
            <w:r>
              <w:rPr>
                <w:sz w:val="19"/>
                <w:szCs w:val="19"/>
              </w:rPr>
              <w:t xml:space="preserve">Cualquier vendedor podía generar la guía de </w:t>
            </w:r>
            <w:r>
              <w:rPr>
                <w:b/>
                <w:bCs/>
                <w:sz w:val="19"/>
                <w:szCs w:val="19"/>
              </w:rPr>
              <w:t xml:space="preserve">cualquier</w:t>
            </w:r>
            <w:r>
              <w:rPr>
                <w:sz w:val="19"/>
                <w:szCs w:val="19"/>
              </w:rPr>
              <w:t xml:space="preserve"> pedido</w:t>
            </w:r>
          </w:p>
        </w:tc>
        <w:tc>
          <w:tcPr>
            <w:tcW w:type="dxa" w:w="1872"/>
            <w:tcMar>
              <w:top w:type="dxa" w:w="60"/>
              <w:left w:type="dxa" w:w="90"/>
              <w:bottom w:type="dxa" w:w="60"/>
              <w:right w:type="dxa" w:w="90"/>
            </w:tcMar>
          </w:tcPr>
          <w:p>
            <w:pPr>
              <w:spacing w:after="20" w:before="20"/>
            </w:pPr>
            <w:r>
              <w:rPr>
                <w:sz w:val="19"/>
                <w:szCs w:val="19"/>
              </w:rPr>
              <w:t xml:space="preserve">Envíos</w:t>
            </w:r>
          </w:p>
        </w:tc>
        <w:tc>
          <w:tcPr>
            <w:tcW w:type="dxa" w:w="1872"/>
            <w:tcMar>
              <w:top w:type="dxa" w:w="60"/>
              <w:left w:type="dxa" w:w="90"/>
              <w:bottom w:type="dxa" w:w="60"/>
              <w:right w:type="dxa" w:w="90"/>
            </w:tcMar>
          </w:tcPr>
          <w:p>
            <w:pPr>
              <w:spacing w:after="20" w:before="20"/>
            </w:pPr>
            <w:r>
              <w:rPr>
                <w:sz w:val="19"/>
                <w:szCs w:val="19"/>
              </w:rPr>
              <w:t xml:space="preserve">Crítica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S-2</w:t>
            </w:r>
          </w:p>
        </w:tc>
        <w:tc>
          <w:tcPr>
            <w:tcW w:type="dxa" w:w="1872"/>
            <w:tcMar>
              <w:top w:type="dxa" w:w="60"/>
              <w:left w:type="dxa" w:w="90"/>
              <w:bottom w:type="dxa" w:w="60"/>
              <w:right w:type="dxa" w:w="90"/>
            </w:tcMar>
          </w:tcPr>
          <w:p>
            <w:pPr>
              <w:spacing w:after="20" w:before="20"/>
            </w:pPr>
            <w:r>
              <w:rPr>
                <w:sz w:val="19"/>
                <w:szCs w:val="19"/>
              </w:rPr>
              <w:t xml:space="preserve">En pedidos multivendedor, un vendedor podía ver y descargar la guía de otro</w:t>
            </w:r>
          </w:p>
        </w:tc>
        <w:tc>
          <w:tcPr>
            <w:tcW w:type="dxa" w:w="1872"/>
            <w:tcMar>
              <w:top w:type="dxa" w:w="60"/>
              <w:left w:type="dxa" w:w="90"/>
              <w:bottom w:type="dxa" w:w="60"/>
              <w:right w:type="dxa" w:w="90"/>
            </w:tcMar>
          </w:tcPr>
          <w:p>
            <w:pPr>
              <w:spacing w:after="20" w:before="20"/>
            </w:pPr>
            <w:r>
              <w:rPr>
                <w:sz w:val="19"/>
                <w:szCs w:val="19"/>
              </w:rPr>
              <w:t xml:space="preserve">Envíos</w:t>
            </w:r>
          </w:p>
        </w:tc>
        <w:tc>
          <w:tcPr>
            <w:tcW w:type="dxa" w:w="1872"/>
            <w:tcMar>
              <w:top w:type="dxa" w:w="60"/>
              <w:left w:type="dxa" w:w="90"/>
              <w:bottom w:type="dxa" w:w="60"/>
              <w:right w:type="dxa" w:w="90"/>
            </w:tcMar>
          </w:tcPr>
          <w:p>
            <w:pPr>
              <w:spacing w:after="20" w:before="20"/>
            </w:pPr>
            <w:r>
              <w:rPr>
                <w:sz w:val="19"/>
                <w:szCs w:val="19"/>
              </w:rPr>
              <w:t xml:space="preserve">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S-3</w:t>
            </w:r>
          </w:p>
        </w:tc>
        <w:tc>
          <w:tcPr>
            <w:tcW w:type="dxa" w:w="1872"/>
            <w:tcMar>
              <w:top w:type="dxa" w:w="60"/>
              <w:left w:type="dxa" w:w="90"/>
              <w:bottom w:type="dxa" w:w="60"/>
              <w:right w:type="dxa" w:w="90"/>
            </w:tcMar>
          </w:tcPr>
          <w:p>
            <w:pPr>
              <w:spacing w:after="20" w:before="20"/>
            </w:pPr>
            <w:r>
              <w:rPr>
                <w:sz w:val="19"/>
                <w:szCs w:val="19"/>
              </w:rPr>
              <w:t xml:space="preserve">La guía se generaba con el peso y el valor del pedido completo, no del paquete del vendedor</w:t>
            </w:r>
          </w:p>
        </w:tc>
        <w:tc>
          <w:tcPr>
            <w:tcW w:type="dxa" w:w="1872"/>
            <w:tcMar>
              <w:top w:type="dxa" w:w="60"/>
              <w:left w:type="dxa" w:w="90"/>
              <w:bottom w:type="dxa" w:w="60"/>
              <w:right w:type="dxa" w:w="90"/>
            </w:tcMar>
          </w:tcPr>
          <w:p>
            <w:pPr>
              <w:spacing w:after="20" w:before="20"/>
            </w:pPr>
            <w:r>
              <w:rPr>
                <w:sz w:val="19"/>
                <w:szCs w:val="19"/>
              </w:rPr>
              <w:t xml:space="preserve">Envíos</w:t>
            </w:r>
          </w:p>
        </w:tc>
        <w:tc>
          <w:tcPr>
            <w:tcW w:type="dxa" w:w="1872"/>
            <w:tcMar>
              <w:top w:type="dxa" w:w="60"/>
              <w:left w:type="dxa" w:w="90"/>
              <w:bottom w:type="dxa" w:w="60"/>
              <w:right w:type="dxa" w:w="90"/>
            </w:tcMar>
          </w:tcPr>
          <w:p>
            <w:pPr>
              <w:spacing w:after="20" w:before="20"/>
            </w:pPr>
            <w:r>
              <w:rPr>
                <w:sz w:val="19"/>
                <w:szCs w:val="19"/>
              </w:rPr>
              <w:t xml:space="preserve">Media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S-4</w:t>
            </w:r>
          </w:p>
        </w:tc>
        <w:tc>
          <w:tcPr>
            <w:tcW w:type="dxa" w:w="1872"/>
            <w:tcMar>
              <w:top w:type="dxa" w:w="60"/>
              <w:left w:type="dxa" w:w="90"/>
              <w:bottom w:type="dxa" w:w="60"/>
              <w:right w:type="dxa" w:w="90"/>
            </w:tcMar>
          </w:tcPr>
          <w:p>
            <w:pPr>
              <w:spacing w:after="20" w:before="20"/>
            </w:pPr>
            <w:r>
              <w:rPr>
                <w:sz w:val="19"/>
                <w:szCs w:val="19"/>
              </w:rPr>
              <w:t xml:space="preserve">El suite de pruebas certificaba como correcto código que no se ejecutaba</w:t>
            </w:r>
          </w:p>
        </w:tc>
        <w:tc>
          <w:tcPr>
            <w:tcW w:type="dxa" w:w="1872"/>
            <w:tcMar>
              <w:top w:type="dxa" w:w="60"/>
              <w:left w:type="dxa" w:w="90"/>
              <w:bottom w:type="dxa" w:w="60"/>
              <w:right w:type="dxa" w:w="90"/>
            </w:tcMar>
          </w:tcPr>
          <w:p>
            <w:pPr>
              <w:spacing w:after="20" w:before="20"/>
            </w:pPr>
            <w:r>
              <w:rPr>
                <w:sz w:val="19"/>
                <w:szCs w:val="19"/>
              </w:rPr>
              <w:t xml:space="preserve">Pruebas</w:t>
            </w:r>
          </w:p>
        </w:tc>
        <w:tc>
          <w:tcPr>
            <w:tcW w:type="dxa" w:w="1872"/>
            <w:tcMar>
              <w:top w:type="dxa" w:w="60"/>
              <w:left w:type="dxa" w:w="90"/>
              <w:bottom w:type="dxa" w:w="60"/>
              <w:right w:type="dxa" w:w="90"/>
            </w:tcMar>
          </w:tcPr>
          <w:p>
            <w:pPr>
              <w:spacing w:after="20" w:before="20"/>
            </w:pPr>
            <w:r>
              <w:rPr>
                <w:sz w:val="19"/>
                <w:szCs w:val="19"/>
              </w:rPr>
              <w:t xml:space="preserve">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S-5</w:t>
            </w:r>
          </w:p>
        </w:tc>
        <w:tc>
          <w:tcPr>
            <w:tcW w:type="dxa" w:w="1872"/>
            <w:tcMar>
              <w:top w:type="dxa" w:w="60"/>
              <w:left w:type="dxa" w:w="90"/>
              <w:bottom w:type="dxa" w:w="60"/>
              <w:right w:type="dxa" w:w="90"/>
            </w:tcMar>
          </w:tcPr>
          <w:p>
            <w:pPr>
              <w:spacing w:after="20" w:before="20"/>
            </w:pPr>
            <w:r>
              <w:rPr>
                <w:sz w:val="19"/>
                <w:szCs w:val="19"/>
              </w:rPr>
              <w:t xml:space="preserve">Copia de seguridad del </w:t>
            </w:r>
            <w:r>
              <w:rPr>
                <w:rFonts w:ascii="Consolas" w:cs="Consolas" w:eastAsia="Consolas" w:hAnsi="Consolas"/>
                <w:sz w:val="19"/>
                <w:szCs w:val="19"/>
                <w:shd w:fill="F2F2F2" w:val="clear"/>
              </w:rPr>
              <w:t xml:space="preserve">.env</w:t>
            </w:r>
            <w:r>
              <w:rPr>
                <w:sz w:val="19"/>
                <w:szCs w:val="19"/>
              </w:rPr>
              <w:t xml:space="preserve"> quedaba fuera de </w:t>
            </w:r>
            <w:r>
              <w:rPr>
                <w:rFonts w:ascii="Consolas" w:cs="Consolas" w:eastAsia="Consolas" w:hAnsi="Consolas"/>
                <w:sz w:val="19"/>
                <w:szCs w:val="19"/>
                <w:shd w:fill="F2F2F2" w:val="clear"/>
              </w:rPr>
              <w:t xml:space="preserve">.gitignore</w:t>
            </w:r>
          </w:p>
        </w:tc>
        <w:tc>
          <w:tcPr>
            <w:tcW w:type="dxa" w:w="1872"/>
            <w:tcMar>
              <w:top w:type="dxa" w:w="60"/>
              <w:left w:type="dxa" w:w="90"/>
              <w:bottom w:type="dxa" w:w="60"/>
              <w:right w:type="dxa" w:w="90"/>
            </w:tcMar>
          </w:tcPr>
          <w:p>
            <w:pPr>
              <w:spacing w:after="20" w:before="20"/>
            </w:pPr>
            <w:r>
              <w:rPr>
                <w:sz w:val="19"/>
                <w:szCs w:val="19"/>
              </w:rPr>
              <w:t xml:space="preserve">Repositorio</w:t>
            </w:r>
          </w:p>
        </w:tc>
        <w:tc>
          <w:tcPr>
            <w:tcW w:type="dxa" w:w="1872"/>
            <w:tcMar>
              <w:top w:type="dxa" w:w="60"/>
              <w:left w:type="dxa" w:w="90"/>
              <w:bottom w:type="dxa" w:w="60"/>
              <w:right w:type="dxa" w:w="90"/>
            </w:tcMar>
          </w:tcPr>
          <w:p>
            <w:pPr>
              <w:spacing w:after="20" w:before="20"/>
            </w:pPr>
            <w:r>
              <w:rPr>
                <w:sz w:val="19"/>
                <w:szCs w:val="19"/>
              </w:rPr>
              <w:t xml:space="preserve">Media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S-6</w:t>
            </w:r>
          </w:p>
        </w:tc>
        <w:tc>
          <w:tcPr>
            <w:tcW w:type="dxa" w:w="1872"/>
            <w:tcMar>
              <w:top w:type="dxa" w:w="60"/>
              <w:left w:type="dxa" w:w="90"/>
              <w:bottom w:type="dxa" w:w="60"/>
              <w:right w:type="dxa" w:w="90"/>
            </w:tcMar>
          </w:tcPr>
          <w:p>
            <w:pPr>
              <w:spacing w:after="20" w:before="20"/>
            </w:pPr>
            <w:r>
              <w:rPr>
                <w:sz w:val="19"/>
                <w:szCs w:val="19"/>
              </w:rPr>
              <w:t xml:space="preserve">La clave de Gemini viajaba en la URL</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Baja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S-7</w:t>
            </w:r>
          </w:p>
        </w:tc>
        <w:tc>
          <w:tcPr>
            <w:tcW w:type="dxa" w:w="1872"/>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wp-config.php</w:t>
            </w:r>
            <w:r>
              <w:rPr>
                <w:sz w:val="19"/>
                <w:szCs w:val="19"/>
              </w:rPr>
              <w:t xml:space="preserve"> versionado con los 8 salts reales en repositorio público</w:t>
            </w:r>
          </w:p>
        </w:tc>
        <w:tc>
          <w:tcPr>
            <w:tcW w:type="dxa" w:w="1872"/>
            <w:tcMar>
              <w:top w:type="dxa" w:w="60"/>
              <w:left w:type="dxa" w:w="90"/>
              <w:bottom w:type="dxa" w:w="60"/>
              <w:right w:type="dxa" w:w="90"/>
            </w:tcMar>
          </w:tcPr>
          <w:p>
            <w:pPr>
              <w:spacing w:after="20" w:before="20"/>
            </w:pPr>
            <w:r>
              <w:rPr>
                <w:sz w:val="19"/>
                <w:szCs w:val="19"/>
              </w:rPr>
              <w:t xml:space="preserve">Repositorio</w:t>
            </w:r>
          </w:p>
        </w:tc>
        <w:tc>
          <w:tcPr>
            <w:tcW w:type="dxa" w:w="1872"/>
            <w:tcMar>
              <w:top w:type="dxa" w:w="60"/>
              <w:left w:type="dxa" w:w="90"/>
              <w:bottom w:type="dxa" w:w="60"/>
              <w:right w:type="dxa" w:w="90"/>
            </w:tcMar>
          </w:tcPr>
          <w:p>
            <w:pPr>
              <w:spacing w:after="20" w:before="20"/>
            </w:pPr>
            <w:r>
              <w:rPr>
                <w:sz w:val="19"/>
                <w:szCs w:val="19"/>
              </w:rPr>
              <w:t xml:space="preserve">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S-8</w:t>
            </w:r>
          </w:p>
        </w:tc>
        <w:tc>
          <w:tcPr>
            <w:tcW w:type="dxa" w:w="1872"/>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reset-admin.php</w:t>
            </w:r>
            <w:r>
              <w:rPr>
                <w:sz w:val="19"/>
                <w:szCs w:val="19"/>
              </w:rPr>
              <w:t xml:space="preserve"> con credenciales de administrador embebidas, accesible por URL</w:t>
            </w:r>
          </w:p>
        </w:tc>
        <w:tc>
          <w:tcPr>
            <w:tcW w:type="dxa" w:w="1872"/>
            <w:tcMar>
              <w:top w:type="dxa" w:w="60"/>
              <w:left w:type="dxa" w:w="90"/>
              <w:bottom w:type="dxa" w:w="60"/>
              <w:right w:type="dxa" w:w="90"/>
            </w:tcMar>
          </w:tcPr>
          <w:p>
            <w:pPr>
              <w:spacing w:after="20" w:before="20"/>
            </w:pPr>
            <w:r>
              <w:rPr>
                <w:sz w:val="19"/>
                <w:szCs w:val="19"/>
              </w:rPr>
              <w:t xml:space="preserve">Repositorio</w:t>
            </w:r>
          </w:p>
        </w:tc>
        <w:tc>
          <w:tcPr>
            <w:tcW w:type="dxa" w:w="1872"/>
            <w:tcMar>
              <w:top w:type="dxa" w:w="60"/>
              <w:left w:type="dxa" w:w="90"/>
              <w:bottom w:type="dxa" w:w="60"/>
              <w:right w:type="dxa" w:w="90"/>
            </w:tcMar>
          </w:tcPr>
          <w:p>
            <w:pPr>
              <w:spacing w:after="20" w:before="20"/>
            </w:pPr>
            <w:r>
              <w:rPr>
                <w:sz w:val="19"/>
                <w:szCs w:val="19"/>
              </w:rPr>
              <w:t xml:space="preserve">Crítica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A-1</w:t>
            </w:r>
          </w:p>
        </w:tc>
        <w:tc>
          <w:tcPr>
            <w:tcW w:type="dxa" w:w="1872"/>
            <w:tcMar>
              <w:top w:type="dxa" w:w="60"/>
              <w:left w:type="dxa" w:w="90"/>
              <w:bottom w:type="dxa" w:w="60"/>
              <w:right w:type="dxa" w:w="90"/>
            </w:tcMar>
          </w:tcPr>
          <w:p>
            <w:pPr>
              <w:spacing w:after="20" w:before="20"/>
            </w:pPr>
            <w:r>
              <w:rPr>
                <w:sz w:val="19"/>
                <w:szCs w:val="19"/>
              </w:rPr>
              <w:t xml:space="preserve">Entrada a la IA sin tope de longitud: abuso de costo</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A-2</w:t>
            </w:r>
          </w:p>
        </w:tc>
        <w:tc>
          <w:tcPr>
            <w:tcW w:type="dxa" w:w="1872"/>
            <w:tcMar>
              <w:top w:type="dxa" w:w="60"/>
              <w:left w:type="dxa" w:w="90"/>
              <w:bottom w:type="dxa" w:w="60"/>
              <w:right w:type="dxa" w:w="90"/>
            </w:tcMar>
          </w:tcPr>
          <w:p>
            <w:pPr>
              <w:spacing w:after="20" w:before="20"/>
            </w:pPr>
            <w:r>
              <w:rPr>
                <w:sz w:val="19"/>
                <w:szCs w:val="19"/>
              </w:rPr>
              <w:t xml:space="preserve">Límite mensual de IA evadible por concurrencia</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A-3</w:t>
            </w:r>
          </w:p>
        </w:tc>
        <w:tc>
          <w:tcPr>
            <w:tcW w:type="dxa" w:w="1872"/>
            <w:tcMar>
              <w:top w:type="dxa" w:w="60"/>
              <w:left w:type="dxa" w:w="90"/>
              <w:bottom w:type="dxa" w:w="60"/>
              <w:right w:type="dxa" w:w="90"/>
            </w:tcMar>
          </w:tcPr>
          <w:p>
            <w:pPr>
              <w:spacing w:after="20" w:before="20"/>
            </w:pPr>
            <w:r>
              <w:rPr>
                <w:sz w:val="19"/>
                <w:szCs w:val="19"/>
              </w:rPr>
              <w:t xml:space="preserve">Inyección de prompt: el texto del cliente llegaba verbatim al modelo</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Media-Alta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A-4</w:t>
            </w:r>
          </w:p>
        </w:tc>
        <w:tc>
          <w:tcPr>
            <w:tcW w:type="dxa" w:w="1872"/>
            <w:tcMar>
              <w:top w:type="dxa" w:w="60"/>
              <w:left w:type="dxa" w:w="90"/>
              <w:bottom w:type="dxa" w:w="60"/>
              <w:right w:type="dxa" w:w="90"/>
            </w:tcMar>
          </w:tcPr>
          <w:p>
            <w:pPr>
              <w:spacing w:after="20" w:before="20"/>
            </w:pPr>
            <w:r>
              <w:rPr>
                <w:sz w:val="19"/>
                <w:szCs w:val="19"/>
              </w:rPr>
              <w:t xml:space="preserve">El contexto del vendedor lo enviaba el cliente, no el servidor</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Media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A-5</w:t>
            </w:r>
          </w:p>
        </w:tc>
        <w:tc>
          <w:tcPr>
            <w:tcW w:type="dxa" w:w="1872"/>
            <w:tcMar>
              <w:top w:type="dxa" w:w="60"/>
              <w:left w:type="dxa" w:w="90"/>
              <w:bottom w:type="dxa" w:w="60"/>
              <w:right w:type="dxa" w:w="90"/>
            </w:tcMar>
          </w:tcPr>
          <w:p>
            <w:pPr>
              <w:spacing w:after="20" w:before="20"/>
            </w:pPr>
            <w:r>
              <w:rPr>
                <w:sz w:val="19"/>
                <w:szCs w:val="19"/>
              </w:rPr>
              <w:t xml:space="preserve">API key de IA renderizada en el HTML de la pantalla de administración</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Media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A-6</w:t>
            </w:r>
          </w:p>
        </w:tc>
        <w:tc>
          <w:tcPr>
            <w:tcW w:type="dxa" w:w="1872"/>
            <w:tcMar>
              <w:top w:type="dxa" w:w="60"/>
              <w:left w:type="dxa" w:w="90"/>
              <w:bottom w:type="dxa" w:w="60"/>
              <w:right w:type="dxa" w:w="90"/>
            </w:tcMar>
          </w:tcPr>
          <w:p>
            <w:pPr>
              <w:spacing w:after="20" w:before="20"/>
            </w:pPr>
            <w:r>
              <w:rPr>
                <w:sz w:val="19"/>
                <w:szCs w:val="19"/>
              </w:rPr>
              <w:t xml:space="preserve">Los cuatro ajustes de IA se guardaban sin </w:t>
            </w:r>
            <w:r>
              <w:rPr>
                <w:rFonts w:ascii="Consolas" w:cs="Consolas" w:eastAsia="Consolas" w:hAnsi="Consolas"/>
                <w:sz w:val="19"/>
                <w:szCs w:val="19"/>
                <w:shd w:fill="F2F2F2" w:val="clear"/>
              </w:rPr>
              <w:t xml:space="preserve">sanitize_callback</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Media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A-7</w:t>
            </w:r>
          </w:p>
        </w:tc>
        <w:tc>
          <w:tcPr>
            <w:tcW w:type="dxa" w:w="1872"/>
            <w:tcMar>
              <w:top w:type="dxa" w:w="60"/>
              <w:left w:type="dxa" w:w="90"/>
              <w:bottom w:type="dxa" w:w="60"/>
              <w:right w:type="dxa" w:w="90"/>
            </w:tcMar>
          </w:tcPr>
          <w:p>
            <w:pPr>
              <w:spacing w:after="20" w:before="20"/>
            </w:pPr>
            <w:r>
              <w:rPr>
                <w:sz w:val="19"/>
                <w:szCs w:val="19"/>
              </w:rPr>
              <w:t xml:space="preserve">El modelo se interpolaba en la URL de Gemini sin validar</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Baja</w:t>
            </w:r>
          </w:p>
        </w:tc>
        <w:tc>
          <w:tcPr>
            <w:tcW w:type="dxa" w:w="1872"/>
            <w:tcMar>
              <w:top w:type="dxa" w:w="60"/>
              <w:left w:type="dxa" w:w="90"/>
              <w:bottom w:type="dxa" w:w="60"/>
              <w:right w:type="dxa" w:w="90"/>
            </w:tcMar>
          </w:tcPr>
          <w:p>
            <w:pPr>
              <w:spacing w:after="20" w:before="20"/>
            </w:pPr>
            <w:r>
              <w:rPr>
                <w:sz w:val="19"/>
                <w:szCs w:val="19"/>
              </w:rPr>
              <w:t xml:space="preserve">Corregido</w:t>
            </w:r>
          </w:p>
        </w:tc>
      </w:tr>
      <w:tr>
        <w:tc>
          <w:tcPr>
            <w:tcW w:type="dxa" w:w="1872"/>
            <w:tcMar>
              <w:top w:type="dxa" w:w="60"/>
              <w:left w:type="dxa" w:w="90"/>
              <w:bottom w:type="dxa" w:w="60"/>
              <w:right w:type="dxa" w:w="90"/>
            </w:tcMar>
          </w:tcPr>
          <w:p>
            <w:pPr>
              <w:spacing w:after="20" w:before="20"/>
            </w:pPr>
            <w:r>
              <w:rPr>
                <w:sz w:val="19"/>
                <w:szCs w:val="19"/>
              </w:rPr>
              <w:t xml:space="preserve">A-8</w:t>
            </w:r>
          </w:p>
        </w:tc>
        <w:tc>
          <w:tcPr>
            <w:tcW w:type="dxa" w:w="1872"/>
            <w:tcMar>
              <w:top w:type="dxa" w:w="60"/>
              <w:left w:type="dxa" w:w="90"/>
              <w:bottom w:type="dxa" w:w="60"/>
              <w:right w:type="dxa" w:w="90"/>
            </w:tcMar>
          </w:tcPr>
          <w:p>
            <w:pPr>
              <w:spacing w:after="20" w:before="20"/>
            </w:pPr>
            <w:r>
              <w:rPr>
                <w:sz w:val="19"/>
                <w:szCs w:val="19"/>
              </w:rPr>
              <w:t xml:space="preserve">El registro de uso de IA se autocargaba en cada petición</w:t>
            </w:r>
          </w:p>
        </w:tc>
        <w:tc>
          <w:tcPr>
            <w:tcW w:type="dxa" w:w="1872"/>
            <w:tcMar>
              <w:top w:type="dxa" w:w="60"/>
              <w:left w:type="dxa" w:w="90"/>
              <w:bottom w:type="dxa" w:w="60"/>
              <w:right w:type="dxa" w:w="90"/>
            </w:tcMar>
          </w:tcPr>
          <w:p>
            <w:pPr>
              <w:spacing w:after="20" w:before="20"/>
            </w:pPr>
            <w:r>
              <w:rPr>
                <w:sz w:val="19"/>
                <w:szCs w:val="19"/>
              </w:rPr>
              <w:t xml:space="preserve">IA</w:t>
            </w:r>
          </w:p>
        </w:tc>
        <w:tc>
          <w:tcPr>
            <w:tcW w:type="dxa" w:w="1872"/>
            <w:tcMar>
              <w:top w:type="dxa" w:w="60"/>
              <w:left w:type="dxa" w:w="90"/>
              <w:bottom w:type="dxa" w:w="60"/>
              <w:right w:type="dxa" w:w="90"/>
            </w:tcMar>
          </w:tcPr>
          <w:p>
            <w:pPr>
              <w:spacing w:after="20" w:before="20"/>
            </w:pPr>
            <w:r>
              <w:rPr>
                <w:sz w:val="19"/>
                <w:szCs w:val="19"/>
              </w:rPr>
              <w:t xml:space="preserve">Baja</w:t>
            </w:r>
          </w:p>
        </w:tc>
        <w:tc>
          <w:tcPr>
            <w:tcW w:type="dxa" w:w="1872"/>
            <w:tcMar>
              <w:top w:type="dxa" w:w="60"/>
              <w:left w:type="dxa" w:w="90"/>
              <w:bottom w:type="dxa" w:w="60"/>
              <w:right w:type="dxa" w:w="90"/>
            </w:tcMar>
          </w:tcPr>
          <w:p>
            <w:pPr>
              <w:spacing w:after="20" w:before="20"/>
            </w:pPr>
            <w:r>
              <w:rPr>
                <w:sz w:val="19"/>
                <w:szCs w:val="19"/>
              </w:rPr>
              <w:t xml:space="preserve">Corregido</w:t>
            </w:r>
          </w:p>
        </w:tc>
      </w:tr>
    </w:tbl>
    <w:p>
      <w:pPr>
        <w:spacing w:after="120"/>
      </w:pPr>
    </w:p>
    <w:p>
      <w:pPr>
        <w:pStyle w:val="Heading3"/>
        <w:spacing w:after="120" w:before="240"/>
      </w:pPr>
      <w:r>
        <w:t xml:space="preserve">4.3 S-1 — Escalada horizontal de privilegios en la generación de guías</w:t>
      </w:r>
    </w:p>
    <w:p>
      <w:pPr>
        <w:spacing w:after="60" w:before="60" w:line="276"/>
        <w:jc w:val="both"/>
      </w:pPr>
      <w:r>
        <w:rPr>
          <w:b/>
          <w:bCs/>
        </w:rPr>
        <w:t xml:space="preserve">Severidad: Crítica.</w:t>
      </w:r>
      <w:r>
        <w:t xml:space="preserve"> Clasificación OWASP: A01 </w:t>
      </w:r>
      <w:r>
        <w:rPr>
          <w:i/>
          <w:iCs/>
        </w:rPr>
        <w:t xml:space="preserve">Broken Access Control</w:t>
      </w:r>
      <w:r>
        <w:t xml:space="preserve"> (referencia directa insegura a objeto).</w:t>
      </w:r>
    </w:p>
    <w:p>
      <w:pPr>
        <w:spacing w:after="60" w:before="60" w:line="276"/>
        <w:jc w:val="both"/>
      </w:pPr>
      <w:r>
        <w:rPr>
          <w:b/>
          <w:bCs/>
        </w:rPr>
        <w:t xml:space="preserve">Descripción.</w:t>
      </w:r>
      <w:r>
        <w:t xml:space="preserve"> El endpoint REST </w:t>
      </w:r>
      <w:r>
        <w:rPr>
          <w:rFonts w:ascii="Consolas" w:cs="Consolas" w:eastAsia="Consolas" w:hAnsi="Consolas"/>
          <w:shd w:fill="F2F2F2" w:val="clear"/>
        </w:rPr>
        <w:t xml:space="preserve">POST /wp-json/avs/v1/generate-label</w:t>
      </w:r>
      <w:r>
        <w:t xml:space="preserve"> protegía su acceso así:</w:t>
      </w:r>
    </w:p>
    <w:p>
      <w:pPr>
        <w:shd w:fill="F2F2F2" w:val="clear"/>
        <w:spacing w:after="100" w:before="100"/>
      </w:pPr>
      <w:r>
        <w:rPr>
          <w:rFonts w:ascii="Consolas" w:cs="Consolas" w:eastAsia="Consolas" w:hAnsi="Consolas"/>
          <w:sz w:val="18"/>
          <w:szCs w:val="18"/>
        </w:rPr>
        <w:t xml:space="preserve">return ! function_exists( 'wcfm_is_order_for_vendor' ) || wcfm_is_order_for_vendor( $order_id );</w:t>
      </w:r>
    </w:p>
    <w:p>
      <w:pPr>
        <w:spacing w:after="60" w:before="60" w:line="276"/>
        <w:jc w:val="both"/>
      </w:pPr>
      <w:r>
        <w:t xml:space="preserve">La función </w:t>
      </w:r>
      <w:r>
        <w:rPr>
          <w:rFonts w:ascii="Consolas" w:cs="Consolas" w:eastAsia="Consolas" w:hAnsi="Consolas"/>
          <w:shd w:fill="F2F2F2" w:val="clear"/>
        </w:rPr>
        <w:t xml:space="preserve">wcfm_is_order_for_vendor()</w:t>
      </w:r>
      <w:r>
        <w:t xml:space="preserve"> </w:t>
      </w:r>
      <w:r>
        <w:rPr>
          <w:b/>
          <w:bCs/>
        </w:rPr>
        <w:t xml:space="preserve">no existe en WCFM</w:t>
      </w:r>
      <w:r>
        <w:t xml:space="preserve">. Se verificó por búsqueda exhaustiva en todo el árbol de plugins. Por tanto </w:t>
      </w:r>
      <w:r>
        <w:rPr>
          <w:rFonts w:ascii="Consolas" w:cs="Consolas" w:eastAsia="Consolas" w:hAnsi="Consolas"/>
          <w:shd w:fill="F2F2F2" w:val="clear"/>
        </w:rPr>
        <w:t xml:space="preserve">function_exists(...)</w:t>
      </w:r>
      <w:r>
        <w:t xml:space="preserve"> devolvía </w:t>
      </w:r>
      <w:r>
        <w:rPr>
          <w:rFonts w:ascii="Consolas" w:cs="Consolas" w:eastAsia="Consolas" w:hAnsi="Consolas"/>
          <w:shd w:fill="F2F2F2" w:val="clear"/>
        </w:rPr>
        <w:t xml:space="preserve">false</w:t>
      </w:r>
      <w:r>
        <w:t xml:space="preserve">, su negación devolvía </w:t>
      </w:r>
      <w:r>
        <w:rPr>
          <w:rFonts w:ascii="Consolas" w:cs="Consolas" w:eastAsia="Consolas" w:hAnsi="Consolas"/>
          <w:shd w:fill="F2F2F2" w:val="clear"/>
        </w:rPr>
        <w:t xml:space="preserve">true</w:t>
      </w:r>
      <w:r>
        <w:t xml:space="preserve">, y la expresión completa </w:t>
      </w:r>
      <w:r>
        <w:rPr>
          <w:b/>
          <w:bCs/>
        </w:rPr>
        <w:t xml:space="preserve">concedía el acceso sin comprobar nada</w:t>
      </w:r>
      <w:r>
        <w:t xml:space="preserve">. La misma lógica estaba duplicada en el control de visibilidad del botón.</w:t>
      </w:r>
    </w:p>
    <w:p>
      <w:pPr>
        <w:spacing w:after="60" w:before="60" w:line="276"/>
        <w:jc w:val="both"/>
      </w:pPr>
      <w:r>
        <w:t xml:space="preserve">Es el patrón clásico de </w:t>
      </w:r>
      <w:r>
        <w:rPr>
          <w:i/>
          <w:iCs/>
        </w:rPr>
        <w:t xml:space="preserve">fail-open</w:t>
      </w:r>
      <w:r>
        <w:t xml:space="preserve">: usar </w:t>
      </w:r>
      <w:r>
        <w:rPr>
          <w:rFonts w:ascii="Consolas" w:cs="Consolas" w:eastAsia="Consolas" w:hAnsi="Consolas"/>
          <w:shd w:fill="F2F2F2" w:val="clear"/>
        </w:rPr>
        <w:t xml:space="preserve">function_exists()</w:t>
      </w:r>
      <w:r>
        <w:t xml:space="preserve"> como guardia de permisos hace que la ausencia de la dependencia se traduzca en acceso concedido.</w:t>
      </w:r>
    </w:p>
    <w:p>
      <w:pPr>
        <w:spacing w:after="60" w:before="60" w:line="276"/>
        <w:jc w:val="both"/>
      </w:pPr>
      <w:r>
        <w:rPr>
          <w:b/>
          <w:bCs/>
        </w:rPr>
        <w:t xml:space="preserve">Impacto.</w:t>
      </w:r>
      <w:r>
        <w:t xml:space="preserve"> Cualquier vendedor autenticado podía generar la guía de cualquier pedido del marketplace, incluidos los de otros vendedores. Consecuencias:</w:t>
      </w:r>
    </w:p>
    <w:p>
      <w:pPr>
        <w:pStyle w:val="ListParagraph"/>
        <w:numPr>
          <w:ilvl w:val="0"/>
          <w:numId w:val="2"/>
        </w:numPr>
        <w:spacing w:after="40" w:before="40"/>
      </w:pPr>
      <w:r>
        <w:rPr>
          <w:b/>
          <w:bCs/>
        </w:rPr>
        <w:t xml:space="preserve">Costo económico real:</w:t>
      </w:r>
      <w:r>
        <w:t xml:space="preserve"> generar una guía crea un envío real y consume saldo de la cuenta central de Envia.</w:t>
      </w:r>
    </w:p>
    <w:p>
      <w:pPr>
        <w:pStyle w:val="ListParagraph"/>
        <w:numPr>
          <w:ilvl w:val="0"/>
          <w:numId w:val="2"/>
        </w:numPr>
        <w:spacing w:after="40" w:before="40"/>
      </w:pPr>
      <w:r>
        <w:rPr>
          <w:b/>
          <w:bCs/>
        </w:rPr>
        <w:t xml:space="preserve">Exposición de datos personales del cliente:</w:t>
      </w:r>
      <w:r>
        <w:t xml:space="preserve"> la respuesta devuelve la URL del PDF, y ese PDF contiene el nombre, la dirección y el teléfono del comprador.</w:t>
      </w:r>
    </w:p>
    <w:p>
      <w:pPr>
        <w:pStyle w:val="ListParagraph"/>
        <w:numPr>
          <w:ilvl w:val="0"/>
          <w:numId w:val="2"/>
        </w:numPr>
        <w:spacing w:after="40" w:before="40"/>
      </w:pPr>
      <w:r>
        <w:rPr>
          <w:b/>
          <w:bCs/>
        </w:rPr>
        <w:t xml:space="preserve">Escritura en pedidos ajenos:</w:t>
      </w:r>
      <w:r>
        <w:t xml:space="preserve"> se guardaban metadatos en pedidos de otros vendedores.</w:t>
      </w:r>
    </w:p>
    <w:p>
      <w:pPr>
        <w:spacing w:after="60" w:before="60" w:line="276"/>
        <w:jc w:val="both"/>
      </w:pPr>
      <w:r>
        <w:rPr>
          <w:b/>
          <w:bCs/>
        </w:rPr>
        <w:t xml:space="preserve">Prueba de explotabilidad.</w:t>
      </w:r>
      <w:r>
        <w:t xml:space="preserve"> Sobre datos reales del sistema se comprobó que el vendedor 4, que no participa en el pedido #148, obtenía acceso concedido con la lógica anterior:</w:t>
      </w:r>
    </w:p>
    <w:p>
      <w:pPr>
        <w:shd w:fill="F2F2F2" w:val="clear"/>
        <w:spacing w:after="0" w:before="100"/>
      </w:pPr>
      <w:r>
        <w:rPr>
          <w:rFonts w:ascii="Consolas" w:cs="Consolas" w:eastAsia="Consolas" w:hAnsi="Consolas"/>
          <w:sz w:val="18"/>
          <w:szCs w:val="18"/>
        </w:rPr>
        <w:t xml:space="preserve">Pedido de prueba : #148</w:t>
      </w:r>
    </w:p>
    <w:p>
      <w:pPr>
        <w:shd w:fill="F2F2F2" w:val="clear"/>
        <w:spacing w:after="0" w:before="0"/>
      </w:pPr>
      <w:r>
        <w:rPr>
          <w:rFonts w:ascii="Consolas" w:cs="Consolas" w:eastAsia="Consolas" w:hAnsi="Consolas"/>
          <w:sz w:val="18"/>
          <w:szCs w:val="18"/>
        </w:rPr>
        <w:t xml:space="preserve">Vendedor dueño   : 2</w:t>
      </w:r>
    </w:p>
    <w:p>
      <w:pPr>
        <w:shd w:fill="F2F2F2" w:val="clear"/>
        <w:spacing w:after="0" w:before="0"/>
      </w:pPr>
      <w:r>
        <w:rPr>
          <w:rFonts w:ascii="Consolas" w:cs="Consolas" w:eastAsia="Consolas" w:hAnsi="Consolas"/>
          <w:sz w:val="18"/>
          <w:szCs w:val="18"/>
        </w:rPr>
        <w:t xml:space="preserve">Vendedor ajeno   : 4</w:t>
      </w:r>
    </w:p>
    <w:p>
      <w:pPr>
        <w:shd w:fill="F2F2F2" w:val="clear"/>
        <w:spacing w:after="0" w:before="0"/>
      </w:pPr>
      <w:r>
        <w:rPr>
          <w:rFonts w:ascii="Consolas" w:cs="Consolas" w:eastAsia="Consolas" w:hAnsi="Consolas"/>
          <w:sz w:val="18"/>
          <w:szCs w:val="18"/>
        </w:rPr>
        <w:t xml:space="preserve">wcfm_is_order_for_vendor() existe? : NO</w:t>
      </w:r>
    </w:p>
    <w:p>
      <w:pPr>
        <w:shd w:fill="F2F2F2" w:val="clear"/>
        <w:spacing w:after="0" w:before="0"/>
      </w:pPr>
      <w:r>
        <w:rPr>
          <w:rFonts w:ascii="Consolas" w:cs="Consolas" w:eastAsia="Consolas" w:hAnsi="Consolas"/>
          <w:sz w:val="18"/>
          <w:szCs w:val="18"/>
        </w:rPr>
        <w:t xml:space="preserve">LOGICA VIEJA -&gt; vendedor ajeno 4 sobre pedido #148: PERMITIDO  &lt;-- VULNERABLE</w:t>
      </w:r>
    </w:p>
    <w:p>
      <w:pPr>
        <w:shd w:fill="F2F2F2" w:val="clear"/>
        <w:spacing w:after="0" w:before="0"/>
      </w:pPr>
      <w:r>
        <w:rPr>
          <w:rFonts w:ascii="Consolas" w:cs="Consolas" w:eastAsia="Consolas" w:hAnsi="Consolas"/>
          <w:sz w:val="18"/>
          <w:szCs w:val="18"/>
        </w:rPr>
        <w:t xml:space="preserve">LOGICA NUEVA -&gt; vendedor ajeno 4 sobre pedido #148: denegado   &lt;-- corregido</w:t>
      </w:r>
    </w:p>
    <w:p>
      <w:pPr>
        <w:shd w:fill="F2F2F2" w:val="clear"/>
        <w:spacing w:after="100" w:before="0"/>
      </w:pPr>
      <w:r>
        <w:rPr>
          <w:rFonts w:ascii="Consolas" w:cs="Consolas" w:eastAsia="Consolas" w:hAnsi="Consolas"/>
          <w:sz w:val="18"/>
          <w:szCs w:val="18"/>
        </w:rPr>
        <w:t xml:space="preserve">LOGICA NUEVA -&gt; vendedor dueño 2 sobre pedido #148: permitido  &lt;-- correcto</w:t>
      </w:r>
    </w:p>
    <w:p>
      <w:pPr>
        <w:spacing w:after="60" w:before="60" w:line="276"/>
        <w:jc w:val="both"/>
      </w:pPr>
      <w:r>
        <w:rPr>
          <w:b/>
          <w:bCs/>
        </w:rPr>
        <w:t xml:space="preserve">Corrección.</w:t>
      </w:r>
      <w:r>
        <w:t xml:space="preserve"> La propiedad del pedido se resuelve ahora contra la fuente de verdad de WCFM: la tabla </w:t>
      </w:r>
      <w:r>
        <w:rPr>
          <w:rFonts w:ascii="Consolas" w:cs="Consolas" w:eastAsia="Consolas" w:hAnsi="Consolas"/>
          <w:shd w:fill="F2F2F2" w:val="clear"/>
        </w:rPr>
        <w:t xml:space="preserve">wcfm_marketplace_orders</w:t>
      </w:r>
      <w:r>
        <w:t xml:space="preserve">, que registra una fila por cada par (pedido, vendedor). Se implementó en </w:t>
      </w:r>
      <w:r>
        <w:rPr>
          <w:rFonts w:ascii="Consolas" w:cs="Consolas" w:eastAsia="Consolas" w:hAnsi="Consolas"/>
          <w:shd w:fill="F2F2F2" w:val="clear"/>
        </w:rPr>
        <w:t xml:space="preserve">AVS_Label::vendor_owns_order()</w:t>
      </w:r>
      <w:r>
        <w:t xml:space="preserve"> mediante consulta preparada, y tanto el endpoint REST como el botón del panel delegan en una </w:t>
      </w:r>
      <w:r>
        <w:rPr>
          <w:b/>
          <w:bCs/>
        </w:rPr>
        <w:t xml:space="preserve">única</w:t>
      </w:r>
      <w:r>
        <w:t xml:space="preserve"> regla de permiso, eliminando la lógica duplicada.</w:t>
      </w:r>
    </w:p>
    <w:p>
      <w:pPr>
        <w:spacing w:after="60" w:before="60" w:line="276"/>
        <w:jc w:val="both"/>
      </w:pPr>
      <w:r>
        <w:rPr>
          <w:b/>
          <w:bCs/>
        </w:rPr>
        <w:t xml:space="preserve">Regresión cubierta por</w:t>
      </w:r>
      <w:r>
        <w:t xml:space="preserve"> </w:t>
      </w:r>
      <w:r>
        <w:rPr>
          <w:rFonts w:ascii="Consolas" w:cs="Consolas" w:eastAsia="Consolas" w:hAnsi="Consolas"/>
          <w:shd w:fill="F2F2F2" w:val="clear"/>
        </w:rPr>
        <w:t xml:space="preserve">tests/test09-access.php</w:t>
      </w:r>
      <w:r>
        <w:t xml:space="preserve">, que verifica que un vendedor ajeno es rechazado, el participante es aceptado, el anónimo es rechazado y el administrador es aceptado.</w:t>
      </w:r>
    </w:p>
    <w:p>
      <w:pPr>
        <w:pStyle w:val="Heading3"/>
        <w:spacing w:after="120" w:before="240"/>
      </w:pPr>
      <w:r>
        <w:t xml:space="preserve">4.4 S-2 — Fuga de guías entre vendedores en pedidos compartidos</w:t>
      </w:r>
    </w:p>
    <w:p>
      <w:pPr>
        <w:spacing w:after="60" w:before="60" w:line="276"/>
        <w:jc w:val="both"/>
      </w:pPr>
      <w:r>
        <w:rPr>
          <w:b/>
          <w:bCs/>
        </w:rPr>
        <w:t xml:space="preserve">Severidad: Alta.</w:t>
      </w:r>
    </w:p>
    <w:p>
      <w:pPr>
        <w:spacing w:after="60" w:before="60" w:line="276"/>
        <w:jc w:val="both"/>
      </w:pPr>
      <w:r>
        <w:rPr>
          <w:b/>
          <w:bCs/>
        </w:rPr>
        <w:t xml:space="preserve">Descripción.</w:t>
      </w:r>
      <w:r>
        <w:t xml:space="preserve"> En WCFM, un pedido con productos de varios vendedores comparte un mismo </w:t>
      </w:r>
      <w:r>
        <w:rPr>
          <w:rFonts w:ascii="Consolas" w:cs="Consolas" w:eastAsia="Consolas" w:hAnsi="Consolas"/>
          <w:shd w:fill="F2F2F2" w:val="clear"/>
        </w:rPr>
        <w:t xml:space="preserve">order_id</w:t>
      </w:r>
      <w:r>
        <w:t xml:space="preserve"> (se confirmó el caso real del pedido </w:t>
      </w:r>
      <w:r>
        <w:rPr>
          <w:b/>
          <w:bCs/>
        </w:rPr>
        <w:t xml:space="preserve">#144</w:t>
      </w:r>
      <w:r>
        <w:t xml:space="preserve">, con los vendedores 2 y 5). El plugin guardaba la guía </w:t>
      </w:r>
      <w:r>
        <w:rPr>
          <w:b/>
          <w:bCs/>
        </w:rPr>
        <w:t xml:space="preserve">a nivel de pedido</w:t>
      </w:r>
      <w:r>
        <w:t xml:space="preserve"> y seleccionaba </w:t>
      </w:r>
      <w:r>
        <w:rPr>
          <w:i/>
          <w:iCs/>
        </w:rPr>
        <w:t xml:space="preserve">el primer</w:t>
      </w:r>
      <w:r>
        <w:t xml:space="preserve"> ítem de envío de Envia que encontraba, sin comprobar a qué vendedor pertenecía.</w:t>
      </w:r>
    </w:p>
    <w:p>
      <w:pPr>
        <w:spacing w:after="60" w:before="60" w:line="276"/>
        <w:jc w:val="both"/>
      </w:pPr>
      <w:r>
        <w:rPr>
          <w:b/>
          <w:bCs/>
        </w:rPr>
        <w:t xml:space="preserve">Impacto.</w:t>
      </w:r>
      <w:r>
        <w:t xml:space="preserve"> En un pedido compartido:</w:t>
      </w:r>
    </w:p>
    <w:p>
      <w:pPr>
        <w:pStyle w:val="ListParagraph"/>
        <w:numPr>
          <w:ilvl w:val="0"/>
          <w:numId w:val="2"/>
        </w:numPr>
        <w:spacing w:after="40" w:before="40"/>
      </w:pPr>
      <w:r>
        <w:t xml:space="preserve">Un vendedor podía generar la guía tomando el paquete y el </w:t>
      </w:r>
      <w:r>
        <w:rPr>
          <w:b/>
          <w:bCs/>
        </w:rPr>
        <w:t xml:space="preserve">origen de otro vendedor</w:t>
      </w:r>
      <w:r>
        <w:t xml:space="preserve">.</w:t>
      </w:r>
    </w:p>
    <w:p>
      <w:pPr>
        <w:pStyle w:val="ListParagraph"/>
        <w:numPr>
          <w:ilvl w:val="0"/>
          <w:numId w:val="2"/>
        </w:numPr>
        <w:spacing w:after="40" w:before="40"/>
      </w:pPr>
      <w:r>
        <w:t xml:space="preserve">Una vez generada, el segundo vendedor veía el botón </w:t>
      </w:r>
      <w:r>
        <w:rPr>
          <w:i/>
          <w:iCs/>
        </w:rPr>
        <w:t xml:space="preserve">"Descargar guía (PDF)"</w:t>
      </w:r>
      <w:r>
        <w:t xml:space="preserve"> apuntando al PDF del primero, </w:t>
      </w:r>
      <w:r>
        <w:rPr>
          <w:b/>
          <w:bCs/>
        </w:rPr>
        <w:t xml:space="preserve">con la dirección del cliente</w:t>
      </w:r>
      <w:r>
        <w:t xml:space="preserve">.</w:t>
      </w:r>
    </w:p>
    <w:p>
      <w:pPr>
        <w:pStyle w:val="ListParagraph"/>
        <w:numPr>
          <w:ilvl w:val="0"/>
          <w:numId w:val="2"/>
        </w:numPr>
        <w:spacing w:after="40" w:before="40"/>
      </w:pPr>
      <w:r>
        <w:t xml:space="preserve">El segundo vendedor </w:t>
      </w:r>
      <w:r>
        <w:rPr>
          <w:b/>
          <w:bCs/>
        </w:rPr>
        <w:t xml:space="preserve">nunca podía generar la suya</w:t>
      </w:r>
      <w:r>
        <w:t xml:space="preserve">, porque el pedido ya figuraba con guía.</w:t>
      </w:r>
    </w:p>
    <w:p>
      <w:pPr>
        <w:spacing w:after="60" w:before="60" w:line="276"/>
        <w:jc w:val="both"/>
      </w:pPr>
      <w:r>
        <w:rPr>
          <w:b/>
          <w:bCs/>
        </w:rPr>
        <w:t xml:space="preserve">Corrección.</w:t>
      </w:r>
      <w:r>
        <w:t xml:space="preserve"> La guía pasó a almacenarse en el </w:t>
      </w:r>
      <w:r>
        <w:rPr>
          <w:b/>
          <w:bCs/>
        </w:rPr>
        <w:t xml:space="preserve">ítem de envío</w:t>
      </w:r>
      <w:r>
        <w:t xml:space="preserve"> (uno por vendedor) en lugar de en el pedido. Cada vendedor genera, ve y descarga únicamente su propio paquete. Cuando un administrador no indica el vendedor en un pedido con varios paquetes, la operación se </w:t>
      </w:r>
      <w:r>
        <w:rPr>
          <w:b/>
          <w:bCs/>
        </w:rPr>
        <w:t xml:space="preserve">rechaza explícitamente</w:t>
      </w:r>
      <w:r>
        <w:t xml:space="preserve"> (</w:t>
      </w:r>
      <w:r>
        <w:rPr>
          <w:rFonts w:ascii="Consolas" w:cs="Consolas" w:eastAsia="Consolas" w:hAnsi="Consolas"/>
          <w:shd w:fill="F2F2F2" w:val="clear"/>
        </w:rPr>
        <w:t xml:space="preserve">avs_ambiguous</w:t>
      </w:r>
      <w:r>
        <w:t xml:space="preserve">) en lugar de adivinar, que era precisamente el origen del fallo.</w:t>
      </w:r>
    </w:p>
    <w:p>
      <w:pPr>
        <w:spacing w:after="60" w:before="60" w:line="276"/>
        <w:jc w:val="both"/>
      </w:pPr>
      <w:r>
        <w:rPr>
          <w:b/>
          <w:bCs/>
        </w:rPr>
        <w:t xml:space="preserve">Regresión cubierta por</w:t>
      </w:r>
      <w:r>
        <w:t xml:space="preserve"> </w:t>
      </w:r>
      <w:r>
        <w:rPr>
          <w:rFonts w:ascii="Consolas" w:cs="Consolas" w:eastAsia="Consolas" w:hAnsi="Consolas"/>
          <w:shd w:fill="F2F2F2" w:val="clear"/>
        </w:rPr>
        <w:t xml:space="preserve">tests/test10-multivendor-label.php</w:t>
      </w:r>
      <w:r>
        <w:t xml:space="preserve">, que construye un pedido con dos paquetes de Envia y verifica el aislamiento.</w:t>
      </w:r>
    </w:p>
    <w:p>
      <w:pPr>
        <w:pStyle w:val="Heading3"/>
        <w:spacing w:after="120" w:before="240"/>
      </w:pPr>
      <w:r>
        <w:t xml:space="preserve">4.5 S-3 — Paquete calculado sobre el pedido completo</w:t>
      </w:r>
    </w:p>
    <w:p>
      <w:pPr>
        <w:spacing w:after="60" w:before="60" w:line="276"/>
        <w:jc w:val="both"/>
      </w:pPr>
      <w:r>
        <w:rPr>
          <w:b/>
          <w:bCs/>
        </w:rPr>
        <w:t xml:space="preserve">Severidad: Media.</w:t>
      </w:r>
    </w:p>
    <w:p>
      <w:pPr>
        <w:spacing w:after="60" w:before="60" w:line="276"/>
        <w:jc w:val="both"/>
      </w:pPr>
      <w:r>
        <w:t xml:space="preserve">El peso y el valor declarado de la guía se calculaban sumando </w:t>
      </w:r>
      <w:r>
        <w:rPr>
          <w:b/>
          <w:bCs/>
        </w:rPr>
        <w:t xml:space="preserve">todos</w:t>
      </w:r>
      <w:r>
        <w:t xml:space="preserve"> los productos del pedido. En un pedido multivendedor, la guía de un vendedor salía con el peso y el valor de la mercancía de todos, produciendo una guía incorrecta y más cara. Corregido: el paquete se construye únicamente con las líneas atribuibles al vendedor.</w:t>
      </w:r>
    </w:p>
    <w:p>
      <w:pPr>
        <w:pStyle w:val="Heading3"/>
        <w:spacing w:after="120" w:before="240"/>
      </w:pPr>
      <w:r>
        <w:t xml:space="preserve">4.6 S-4 — Integridad de la evidencia de pruebas</w:t>
      </w:r>
    </w:p>
    <w:p>
      <w:pPr>
        <w:spacing w:after="60" w:before="60" w:line="276"/>
        <w:jc w:val="both"/>
      </w:pPr>
      <w:r>
        <w:rPr>
          <w:b/>
          <w:bCs/>
        </w:rPr>
        <w:t xml:space="preserve">Severidad: Alta (integridad del proceso, no del producto).</w:t>
      </w:r>
      <w:r>
        <w:t xml:space="preserve"> Descrito en la sección 2.2. Se considera un hallazgo de seguridad porque anulaba la capacidad de detectar regresiones: un fallo total de la aplicación se reportaba como éxito.</w:t>
      </w:r>
    </w:p>
    <w:p>
      <w:pPr>
        <w:pStyle w:val="Heading3"/>
        <w:spacing w:after="120" w:before="240"/>
      </w:pPr>
      <w:r>
        <w:t xml:space="preserve">4.7 S-5 — Credenciales fuera del control de versiones</w:t>
      </w:r>
    </w:p>
    <w:p>
      <w:pPr>
        <w:spacing w:after="60" w:before="60" w:line="276"/>
        <w:jc w:val="both"/>
      </w:pPr>
      <w:r>
        <w:rPr>
          <w:b/>
          <w:bCs/>
        </w:rPr>
        <w:t xml:space="preserve">Severidad: Media.</w:t>
      </w:r>
      <w:r>
        <w:t xml:space="preserve"> Durante la intervención se detectó que </w:t>
      </w:r>
      <w:r>
        <w:rPr>
          <w:rFonts w:ascii="Consolas" w:cs="Consolas" w:eastAsia="Consolas" w:hAnsi="Consolas"/>
          <w:shd w:fill="F2F2F2" w:val="clear"/>
        </w:rPr>
        <w:t xml:space="preserve">.gitignore</w:t>
      </w:r>
      <w:r>
        <w:t xml:space="preserve"> cubría únicamente nombres exactos (</w:t>
      </w:r>
      <w:r>
        <w:rPr>
          <w:rFonts w:ascii="Consolas" w:cs="Consolas" w:eastAsia="Consolas" w:hAnsi="Consolas"/>
          <w:shd w:fill="F2F2F2" w:val="clear"/>
        </w:rPr>
        <w:t xml:space="preserve">.env</w:t>
      </w:r>
      <w:r>
        <w:t xml:space="preserve">, </w:t>
      </w:r>
      <w:r>
        <w:rPr>
          <w:rFonts w:ascii="Consolas" w:cs="Consolas" w:eastAsia="Consolas" w:hAnsi="Consolas"/>
          <w:shd w:fill="F2F2F2" w:val="clear"/>
        </w:rPr>
        <w:t xml:space="preserve">.env.local</w:t>
      </w:r>
      <w:r>
        <w:t xml:space="preserve">, </w:t>
      </w:r>
      <w:r>
        <w:rPr>
          <w:rFonts w:ascii="Consolas" w:cs="Consolas" w:eastAsia="Consolas" w:hAnsi="Consolas"/>
          <w:shd w:fill="F2F2F2" w:val="clear"/>
        </w:rPr>
        <w:t xml:space="preserve">.env.production</w:t>
      </w:r>
      <w:r>
        <w:t xml:space="preserve">), de modo que cualquier otra variante —por ejemplo una copia de respaldo— habría quedado expuesta al control de versiones con la contraseña de producción. Corregido ampliando la regla a </w:t>
      </w:r>
      <w:r>
        <w:rPr>
          <w:rFonts w:ascii="Consolas" w:cs="Consolas" w:eastAsia="Consolas" w:hAnsi="Consolas"/>
          <w:shd w:fill="F2F2F2" w:val="clear"/>
        </w:rPr>
        <w:t xml:space="preserve">.env.*</w:t>
      </w:r>
      <w:r>
        <w:t xml:space="preserve">, con excepción explícita de la plantilla </w:t>
      </w:r>
      <w:r>
        <w:rPr>
          <w:rFonts w:ascii="Consolas" w:cs="Consolas" w:eastAsia="Consolas" w:hAnsi="Consolas"/>
          <w:shd w:fill="F2F2F2" w:val="clear"/>
        </w:rPr>
        <w:t xml:space="preserve">.env.example</w:t>
      </w:r>
      <w:r>
        <w:t xml:space="preserve">.</w:t>
      </w:r>
    </w:p>
    <w:p>
      <w:pPr>
        <w:pStyle w:val="Heading3"/>
        <w:spacing w:after="120" w:before="240"/>
      </w:pPr>
      <w:r>
        <w:t xml:space="preserve">4.8 S-6 — Clave de Gemini en la cadena de consulta</w:t>
      </w:r>
    </w:p>
    <w:p>
      <w:pPr>
        <w:spacing w:after="60" w:before="60" w:line="276"/>
        <w:jc w:val="both"/>
      </w:pPr>
      <w:r>
        <w:rPr>
          <w:b/>
          <w:bCs/>
        </w:rPr>
        <w:t xml:space="preserve">Severidad: Baja. Estado: corregido.</w:t>
      </w:r>
      <w:r>
        <w:t xml:space="preserve"> Con el proveedor Gemini, la clave de API viajaba como parámetro de URL (</w:t>
      </w:r>
      <w:r>
        <w:rPr>
          <w:rFonts w:ascii="Consolas" w:cs="Consolas" w:eastAsia="Consolas" w:hAnsi="Consolas"/>
          <w:shd w:fill="F2F2F2" w:val="clear"/>
        </w:rPr>
        <w:t xml:space="preserve">?key=...</w:t>
      </w:r>
      <w:r>
        <w:t xml:space="preserve">), donde puede quedar registrada en logs de proxies, historiales y registros de acceso del servidor.</w:t>
      </w:r>
    </w:p>
    <w:p>
      <w:pPr>
        <w:pBdr>
          <w:left w:val="single" w:color="1F6F4A" w:sz="12" w:space="8"/>
        </w:pBdr>
        <w:spacing w:after="80" w:before="80"/>
        <w:ind w:left="360"/>
      </w:pPr>
      <w:r>
        <w:rPr>
          <w:b/>
          <w:bCs/>
          <w:i/>
          <w:iCs/>
          <w:color w:val="595959"/>
        </w:rPr>
        <w:t xml:space="preserve">Corrección de una valoración previa de este informe.</w:t>
      </w:r>
      <w:r>
        <w:rPr>
          <w:i/>
          <w:iCs/>
          <w:color w:val="595959"/>
        </w:rPr>
        <w:t xml:space="preserve"> En su primera versión, este hallazgo se clasificó como </w:t>
      </w:r>
      <w:r>
        <w:rPr>
          <w:i/>
          <w:iCs/>
          <w:color w:val="595959"/>
        </w:rPr>
        <w:t xml:space="preserve">"riesgo aceptado, restricción externa del proveedor"</w:t>
      </w:r>
      <w:r>
        <w:rPr>
          <w:i/>
          <w:iCs/>
          <w:color w:val="595959"/>
        </w:rPr>
        <w:t xml:space="preserve">, bajo el supuesto de que Google solo admitía la clave en la URL. </w:t>
      </w:r>
      <w:r>
        <w:rPr>
          <w:b/>
          <w:bCs/>
          <w:i/>
          <w:iCs/>
          <w:color w:val="595959"/>
        </w:rPr>
        <w:t xml:space="preserve">Ese supuesto era incorrecto:</w:t>
      </w:r>
      <w:r>
        <w:rPr>
          <w:i/>
          <w:iCs/>
          <w:color w:val="595959"/>
        </w:rPr>
        <w:t xml:space="preserve"> la API de Gemini acepta la cabecera </w:t>
      </w:r>
      <w:r>
        <w:rPr>
          <w:rFonts w:ascii="Consolas" w:cs="Consolas" w:eastAsia="Consolas" w:hAnsi="Consolas"/>
          <w:i/>
          <w:iCs/>
          <w:color w:val="595959"/>
          <w:shd w:fill="F2F2F2" w:val="clear"/>
        </w:rPr>
        <w:t xml:space="preserve">x-goog-api-key</w:t>
      </w:r>
      <w:r>
        <w:rPr>
          <w:i/>
          <w:iCs/>
          <w:color w:val="595959"/>
        </w:rPr>
        <w:t xml:space="preserve">. No era una limitación externa, sino una decisión de implementación evitable. Se reclasificó de </w:t>
      </w:r>
      <w:r>
        <w:rPr>
          <w:i/>
          <w:iCs/>
          <w:color w:val="595959"/>
        </w:rPr>
        <w:t xml:space="preserve">aceptado</w:t>
      </w:r>
      <w:r>
        <w:rPr>
          <w:i/>
          <w:iCs/>
          <w:color w:val="595959"/>
        </w:rPr>
        <w:t xml:space="preserve"> a </w:t>
      </w:r>
      <w:r>
        <w:rPr>
          <w:i/>
          <w:iCs/>
          <w:color w:val="595959"/>
        </w:rPr>
        <w:t xml:space="preserve">corregido</w:t>
      </w:r>
      <w:r>
        <w:rPr>
          <w:i/>
          <w:iCs/>
          <w:color w:val="595959"/>
        </w:rPr>
        <w:t xml:space="preserve"> y la llamada ahora usa la cabecera.</w:t>
      </w:r>
    </w:p>
    <w:p>
      <w:pPr>
        <w:pStyle w:val="Heading3"/>
        <w:spacing w:after="120" w:before="240"/>
      </w:pPr>
      <w:r>
        <w:t xml:space="preserve">4.9 Auditoría del módulo de IA (hallazgos A-1 a A-8)</w:t>
      </w:r>
    </w:p>
    <w:p>
      <w:pPr>
        <w:spacing w:after="60" w:before="60" w:line="276"/>
        <w:jc w:val="both"/>
      </w:pPr>
      <w:r>
        <w:t xml:space="preserve">El plugin </w:t>
      </w:r>
      <w:r>
        <w:rPr>
          <w:rFonts w:ascii="Consolas" w:cs="Consolas" w:eastAsia="Consolas" w:hAnsi="Consolas"/>
          <w:shd w:fill="F2F2F2" w:val="clear"/>
        </w:rPr>
        <w:t xml:space="preserve">wcfm-ai-assistant</w:t>
      </w:r>
      <w:r>
        <w:t xml:space="preserve"> se auditó con el mismo criterio. Los dos hallazgos de mayor impacto son económicos: permitían consumir sin control la cuenta de API del marketplace.</w:t>
      </w:r>
    </w:p>
    <w:p>
      <w:pPr>
        <w:spacing w:after="60" w:before="60" w:line="276"/>
        <w:jc w:val="both"/>
      </w:pPr>
      <w:r>
        <w:rPr>
          <w:b/>
          <w:bCs/>
        </w:rPr>
        <w:t xml:space="preserve">A-1 — Entrada sin tope de longitud (Alta).</w:t>
      </w:r>
      <w:r>
        <w:t xml:space="preserve"> El endpoint saneaba </w:t>
      </w:r>
      <w:r>
        <w:rPr>
          <w:rFonts w:ascii="Consolas" w:cs="Consolas" w:eastAsia="Consolas" w:hAnsi="Consolas"/>
          <w:shd w:fill="F2F2F2" w:val="clear"/>
        </w:rPr>
        <w:t xml:space="preserve">product_name</w:t>
      </w:r>
      <w:r>
        <w:t xml:space="preserve"> en una variable auxiliar, pero acto seguido reenviaba a la IA </w:t>
      </w:r>
      <w:r>
        <w:rPr>
          <w:b/>
          <w:bCs/>
        </w:rPr>
        <w:t xml:space="preserve">el array crudo completo</w:t>
      </w:r>
      <w:r>
        <w:t xml:space="preserve"> de la petición. El constructor del prompt interpolaba once campos del cliente sin límite alguno. Medido: 200 KB en un solo campo producían un prompt de </w:t>
      </w:r>
      <w:r>
        <w:rPr>
          <w:b/>
          <w:bCs/>
        </w:rPr>
        <w:t xml:space="preserve">~50.639 tokens</w:t>
      </w:r>
      <w:r>
        <w:t xml:space="preserve"> en una única llamada. </w:t>
      </w:r>
      <w:r>
        <w:rPr>
          <w:rFonts w:ascii="Consolas" w:cs="Consolas" w:eastAsia="Consolas" w:hAnsi="Consolas"/>
          <w:shd w:fill="F2F2F2" w:val="clear"/>
        </w:rPr>
        <w:t xml:space="preserve">max_tokens: 2000</w:t>
      </w:r>
      <w:r>
        <w:t xml:space="preserve"> acota la salida, no la entrada. Corregido con lista blanca de campos y tope por campo, aplicado tanto en el endpoint como —por defensa en profundidad— dentro de la capa de API. El mismo ataque genera ahora </w:t>
      </w:r>
      <w:r>
        <w:rPr>
          <w:b/>
          <w:bCs/>
        </w:rPr>
        <w:t xml:space="preserve">~764 tokens</w:t>
      </w:r>
      <w:r>
        <w:t xml:space="preserve">.</w:t>
      </w:r>
    </w:p>
    <w:p>
      <w:pPr>
        <w:spacing w:after="60" w:before="60" w:line="276"/>
        <w:jc w:val="both"/>
      </w:pPr>
      <w:r>
        <w:rPr>
          <w:b/>
          <w:bCs/>
        </w:rPr>
        <w:t xml:space="preserve">A-2 — Cuota mensual evadible (Alta).</w:t>
      </w:r>
      <w:r>
        <w:t xml:space="preserve"> La comprobación era </w:t>
      </w:r>
      <w:r>
        <w:rPr>
          <w:i/>
          <w:iCs/>
        </w:rPr>
        <w:t xml:space="preserve">leer → llamar a la IA → incrementar</w:t>
      </w:r>
      <w:r>
        <w:t xml:space="preserve">, secuencia no atómica. Con el contador en 49 y límite 50, cinco peticiones concurrentes leían 49 y </w:t>
      </w:r>
      <w:r>
        <w:rPr>
          <w:b/>
          <w:bCs/>
        </w:rPr>
        <w:t xml:space="preserve">las cinco pasaban</w:t>
      </w:r>
      <w:r>
        <w:t xml:space="preserve">. Además el contador vivía en un </w:t>
      </w:r>
      <w:r>
        <w:rPr>
          <w:i/>
          <w:iCs/>
        </w:rPr>
        <w:t xml:space="preserve">transient</w:t>
      </w:r>
      <w:r>
        <w:t xml:space="preserve">, que un caché de objetos puede desalojar, reiniciando la cuota. Corregido con reserva atómica (incremento en una sola sentencia SQL antes de llamar a la IA, con reembolso si la llamada falla). Verificado: de cinco intentos ahora pasa </w:t>
      </w:r>
      <w:r>
        <w:rPr>
          <w:b/>
          <w:bCs/>
        </w:rPr>
        <w:t xml:space="preserve">uno</w:t>
      </w:r>
      <w:r>
        <w:t xml:space="preserve">, y el consumo nunca supera el límite.</w:t>
      </w:r>
    </w:p>
    <w:p>
      <w:pPr>
        <w:spacing w:after="60" w:before="60" w:line="276"/>
        <w:jc w:val="both"/>
      </w:pPr>
      <w:r>
        <w:rPr>
          <w:b/>
          <w:bCs/>
        </w:rPr>
        <w:t xml:space="preserve">A-3 — Inyección de prompt (Media-Alta).</w:t>
      </w:r>
      <w:r>
        <w:t xml:space="preserve"> El texto del cliente se concatenaba junto a las instrucciones, sin separación, de modo que una orden inyectada quedaba al mismo nivel jerárquico que ellas. Mitigado encerrando el contenido del usuario en un bloque delimitado por marcas con un </w:t>
      </w:r>
      <w:r>
        <w:rPr>
          <w:b/>
          <w:bCs/>
        </w:rPr>
        <w:t xml:space="preserve">token aleatorio por petición</w:t>
      </w:r>
      <w:r>
        <w:t xml:space="preserve">, que el cliente no puede predecir ni falsificar, más neutralización de los caracteres delimitadores e instrucciones explícitas al modelo. Verificado: el delimitador falso inyectado queda desarmado (0 apariciones) y solo persiste el cierre legítimo del servidor.</w:t>
      </w:r>
    </w:p>
    <w:p>
      <w:pPr>
        <w:spacing w:after="60" w:before="60" w:line="276"/>
        <w:jc w:val="both"/>
      </w:pPr>
      <w:r>
        <w:rPr>
          <w:b/>
          <w:bCs/>
        </w:rPr>
        <w:t xml:space="preserve">A-4 — Contexto del vendedor controlado por el cliente (Media).</w:t>
      </w:r>
      <w:r>
        <w:t xml:space="preserve"> El nombre de la tienda, su descripción y la historia de la comunidad viajaban en campos ocultos del formulario y el servidor los aceptaba sin verificar, pese a existir ya una función que los derivaba de la sesión. Un vendedor podía atribuirse la historia cultural de otra comunidad, que es precisamente lo que el módulo promete garantizar. Corregido: los campos </w:t>
      </w:r>
      <w:r>
        <w:rPr>
          <w:rFonts w:ascii="Consolas" w:cs="Consolas" w:eastAsia="Consolas" w:hAnsi="Consolas"/>
          <w:shd w:fill="F2F2F2" w:val="clear"/>
        </w:rPr>
        <w:t xml:space="preserve">vendor_*</w:t>
      </w:r>
      <w:r>
        <w:t xml:space="preserve"> se descartan de la petición y los arma el servidor.</w:t>
      </w:r>
    </w:p>
    <w:p>
      <w:pPr>
        <w:spacing w:after="60" w:before="60" w:line="276"/>
        <w:jc w:val="both"/>
      </w:pPr>
      <w:r>
        <w:rPr>
          <w:b/>
          <w:bCs/>
        </w:rPr>
        <w:t xml:space="preserve">A-5 a A-8 (Media a Baja).</w:t>
      </w:r>
      <w:r>
        <w:t xml:space="preserve"> La API key se renderizaba en el atributo </w:t>
      </w:r>
      <w:r>
        <w:rPr>
          <w:rFonts w:ascii="Consolas" w:cs="Consolas" w:eastAsia="Consolas" w:hAnsi="Consolas"/>
          <w:shd w:fill="F2F2F2" w:val="clear"/>
        </w:rPr>
        <w:t xml:space="preserve">value</w:t>
      </w:r>
      <w:r>
        <w:t xml:space="preserve"> de un campo </w:t>
      </w:r>
      <w:r>
        <w:rPr>
          <w:rFonts w:ascii="Consolas" w:cs="Consolas" w:eastAsia="Consolas" w:hAnsi="Consolas"/>
          <w:shd w:fill="F2F2F2" w:val="clear"/>
        </w:rPr>
        <w:t xml:space="preserve">type="password"</w:t>
      </w:r>
      <w:r>
        <w:t xml:space="preserve"> —que solo la oculta visualmente, quedando legible en el código fuente de la página—; ahora no se devuelve al navegador y se muestra únicamente su estado. Los cuatro ajustes carecían de </w:t>
      </w:r>
      <w:r>
        <w:rPr>
          <w:rFonts w:ascii="Consolas" w:cs="Consolas" w:eastAsia="Consolas" w:hAnsi="Consolas"/>
          <w:shd w:fill="F2F2F2" w:val="clear"/>
        </w:rPr>
        <w:t xml:space="preserve">sanitize_callback</w:t>
      </w:r>
      <w:r>
        <w:t xml:space="preserve">; se añadieron, con lista blanca de proveedor y validación del nombre de modelo (relevante porque se interpola en la ruta de la URL de Gemini). El registro de uso se marcó como no autocargable: con 500 entradas se cargaba en cada petición de WordPress.</w:t>
      </w:r>
    </w:p>
    <w:p>
      <w:pPr>
        <w:pStyle w:val="Heading3"/>
        <w:spacing w:after="120" w:before="240"/>
      </w:pPr>
      <w:r>
        <w:t xml:space="preserve">4.10 S-7 y S-8 — Exposición en el repositorio público</w:t>
      </w:r>
    </w:p>
    <w:p>
      <w:pPr>
        <w:spacing w:after="60" w:before="60" w:line="276"/>
        <w:jc w:val="both"/>
      </w:pPr>
      <w:r>
        <w:rPr>
          <w:b/>
          <w:bCs/>
        </w:rPr>
        <w:t xml:space="preserve">S-7 — `wp-config.php` versionado (Alta).</w:t>
      </w:r>
      <w:r>
        <w:t xml:space="preserve"> El archivo estaba en el repositorio público con los </w:t>
      </w:r>
      <w:r>
        <w:rPr>
          <w:b/>
          <w:bCs/>
        </w:rPr>
        <w:t xml:space="preserve">ocho salts reales</w:t>
      </w:r>
      <w:r>
        <w:t xml:space="preserve"> (</w:t>
      </w:r>
      <w:r>
        <w:rPr>
          <w:rFonts w:ascii="Consolas" w:cs="Consolas" w:eastAsia="Consolas" w:hAnsi="Consolas"/>
          <w:shd w:fill="F2F2F2" w:val="clear"/>
        </w:rPr>
        <w:t xml:space="preserve">AUTH_KEY</w:t>
      </w:r>
      <w:r>
        <w:t xml:space="preserve">, </w:t>
      </w:r>
      <w:r>
        <w:rPr>
          <w:rFonts w:ascii="Consolas" w:cs="Consolas" w:eastAsia="Consolas" w:hAnsi="Consolas"/>
          <w:shd w:fill="F2F2F2" w:val="clear"/>
        </w:rPr>
        <w:t xml:space="preserve">SECURE_AUTH_KEY</w:t>
      </w:r>
      <w:r>
        <w:t xml:space="preserve">, …, </w:t>
      </w:r>
      <w:r>
        <w:rPr>
          <w:rFonts w:ascii="Consolas" w:cs="Consolas" w:eastAsia="Consolas" w:hAnsi="Consolas"/>
          <w:shd w:fill="F2F2F2" w:val="clear"/>
        </w:rPr>
        <w:t xml:space="preserve">NONCE_SALT</w:t>
      </w:r>
      <w:r>
        <w:t xml:space="preserve">) desde el commit inicial. Conocerlos permite falsificar cookies de sesión válidas sin la contraseña, es decir, suplantar a un usuario autenticado. Se verificó que las credenciales de base de datos </w:t>
      </w:r>
      <w:r>
        <w:rPr>
          <w:b/>
          <w:bCs/>
        </w:rPr>
        <w:t xml:space="preserve">no</w:t>
      </w:r>
      <w:r>
        <w:t xml:space="preserve"> estaban expuestas: se leen con </w:t>
      </w:r>
      <w:r>
        <w:rPr>
          <w:rFonts w:ascii="Consolas" w:cs="Consolas" w:eastAsia="Consolas" w:hAnsi="Consolas"/>
          <w:shd w:fill="F2F2F2" w:val="clear"/>
        </w:rPr>
        <w:t xml:space="preserve">getenv()</w:t>
      </w:r>
      <w:r>
        <w:t xml:space="preserve"> desde un </w:t>
      </w:r>
      <w:r>
        <w:rPr>
          <w:rFonts w:ascii="Consolas" w:cs="Consolas" w:eastAsia="Consolas" w:hAnsi="Consolas"/>
          <w:shd w:fill="F2F2F2" w:val="clear"/>
        </w:rPr>
        <w:t xml:space="preserve">.env</w:t>
      </w:r>
      <w:r>
        <w:t xml:space="preserve"> que nunca se llegó a versionar. Corregido: salts rotados (los expuestos quedan inutilizados), archivo retirado del control de versiones y añadido a </w:t>
      </w:r>
      <w:r>
        <w:rPr>
          <w:rFonts w:ascii="Consolas" w:cs="Consolas" w:eastAsia="Consolas" w:hAnsi="Consolas"/>
          <w:shd w:fill="F2F2F2" w:val="clear"/>
        </w:rPr>
        <w:t xml:space="preserve">.gitignore</w:t>
      </w:r>
      <w:r>
        <w:t xml:space="preserve">.</w:t>
      </w:r>
    </w:p>
    <w:p>
      <w:pPr>
        <w:spacing w:after="60" w:before="60" w:line="276"/>
        <w:jc w:val="both"/>
      </w:pPr>
      <w:r>
        <w:rPr>
          <w:b/>
          <w:bCs/>
        </w:rPr>
        <w:t xml:space="preserve">S-8 — `reset-admin.php` (Crítica).</w:t>
      </w:r>
      <w:r>
        <w:t xml:space="preserve"> Script en la raíz del sitio, versionado en el repositorio público, con usuario, contraseña y correo de administrador </w:t>
      </w:r>
      <w:r>
        <w:rPr>
          <w:b/>
          <w:bCs/>
        </w:rPr>
        <w:t xml:space="preserve">embebidos en el código</w:t>
      </w:r>
      <w:r>
        <w:t xml:space="preserve">, que creaba o restablecía una cuenta de administrador al ser invocado. Al residir en la raíz web era alcanzable por URL, lo que permitiría a cualquiera tomar el control del sitio. Eliminado del repositorio. La contraseña que contenía debe considerarse comprometida, dado que permanece en el historial.</w:t>
      </w:r>
    </w:p>
    <w:p>
      <w:pPr>
        <w:pStyle w:val="Heading3"/>
        <w:spacing w:after="120" w:before="240"/>
      </w:pPr>
      <w:r>
        <w:t xml:space="preserve">4.11 Controles verificados como 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6F4A" w:val="clear"/>
            <w:tcMar>
              <w:top w:type="dxa" w:w="60"/>
              <w:left w:type="dxa" w:w="90"/>
              <w:bottom w:type="dxa" w:w="60"/>
              <w:right w:type="dxa" w:w="90"/>
            </w:tcMar>
          </w:tcPr>
          <w:p>
            <w:pPr>
              <w:spacing w:after="20" w:before="20"/>
            </w:pPr>
            <w:r>
              <w:rPr>
                <w:b/>
                <w:bCs/>
                <w:color w:val="FFFFFF"/>
                <w:sz w:val="19"/>
                <w:szCs w:val="19"/>
              </w:rPr>
              <w:t xml:space="preserve">Control</w:t>
            </w:r>
          </w:p>
        </w:tc>
        <w:tc>
          <w:tcPr>
            <w:tcW w:type="dxa" w:w="4680"/>
            <w:shd w:fill="1F6F4A" w:val="clear"/>
            <w:tcMar>
              <w:top w:type="dxa" w:w="60"/>
              <w:left w:type="dxa" w:w="90"/>
              <w:bottom w:type="dxa" w:w="60"/>
              <w:right w:type="dxa" w:w="90"/>
            </w:tcMar>
          </w:tcPr>
          <w:p>
            <w:pPr>
              <w:spacing w:after="20" w:before="20"/>
            </w:pPr>
            <w:r>
              <w:rPr>
                <w:b/>
                <w:bCs/>
                <w:color w:val="FFFFFF"/>
                <w:sz w:val="19"/>
                <w:szCs w:val="19"/>
              </w:rPr>
              <w:t xml:space="preserve">Verificación</w:t>
            </w:r>
          </w:p>
        </w:tc>
      </w:tr>
      <w:tr>
        <w:tc>
          <w:tcPr>
            <w:tcW w:type="dxa" w:w="4680"/>
            <w:tcMar>
              <w:top w:type="dxa" w:w="60"/>
              <w:left w:type="dxa" w:w="90"/>
              <w:bottom w:type="dxa" w:w="60"/>
              <w:right w:type="dxa" w:w="90"/>
            </w:tcMar>
          </w:tcPr>
          <w:p>
            <w:pPr>
              <w:spacing w:after="20" w:before="20"/>
            </w:pPr>
            <w:r>
              <w:rPr>
                <w:sz w:val="19"/>
                <w:szCs w:val="19"/>
              </w:rPr>
              <w:t xml:space="preserve">Consultas SQL</w:t>
            </w:r>
          </w:p>
        </w:tc>
        <w:tc>
          <w:tcPr>
            <w:tcW w:type="dxa" w:w="4680"/>
            <w:tcMar>
              <w:top w:type="dxa" w:w="60"/>
              <w:left w:type="dxa" w:w="90"/>
              <w:bottom w:type="dxa" w:w="60"/>
              <w:right w:type="dxa" w:w="90"/>
            </w:tcMar>
          </w:tcPr>
          <w:p>
            <w:pPr>
              <w:spacing w:after="20" w:before="20"/>
            </w:pPr>
            <w:r>
              <w:rPr>
                <w:sz w:val="19"/>
                <w:szCs w:val="19"/>
              </w:rPr>
              <w:t xml:space="preserve">Se usan sentencias preparadas (</w:t>
            </w:r>
            <w:r>
              <w:rPr>
                <w:rFonts w:ascii="Consolas" w:cs="Consolas" w:eastAsia="Consolas" w:hAnsi="Consolas"/>
                <w:sz w:val="19"/>
                <w:szCs w:val="19"/>
                <w:shd w:fill="F2F2F2" w:val="clear"/>
              </w:rPr>
              <w:t xml:space="preserve">$wpdb-&gt;prepare</w:t>
            </w:r>
            <w:r>
              <w:rPr>
                <w:sz w:val="19"/>
                <w:szCs w:val="19"/>
              </w:rPr>
              <w:t xml:space="preserve">); no se detectó concatenación de entrada del usuario.</w:t>
            </w:r>
          </w:p>
        </w:tc>
      </w:tr>
      <w:tr>
        <w:tc>
          <w:tcPr>
            <w:tcW w:type="dxa" w:w="4680"/>
            <w:tcMar>
              <w:top w:type="dxa" w:w="60"/>
              <w:left w:type="dxa" w:w="90"/>
              <w:bottom w:type="dxa" w:w="60"/>
              <w:right w:type="dxa" w:w="90"/>
            </w:tcMar>
          </w:tcPr>
          <w:p>
            <w:pPr>
              <w:spacing w:after="20" w:before="20"/>
            </w:pPr>
            <w:r>
              <w:rPr>
                <w:sz w:val="19"/>
                <w:szCs w:val="19"/>
              </w:rPr>
              <w:t xml:space="preserve">Escapado de salida</w:t>
            </w:r>
          </w:p>
        </w:tc>
        <w:tc>
          <w:tcPr>
            <w:tcW w:type="dxa" w:w="4680"/>
            <w:tcMar>
              <w:top w:type="dxa" w:w="60"/>
              <w:left w:type="dxa" w:w="90"/>
              <w:bottom w:type="dxa" w:w="60"/>
              <w:right w:type="dxa" w:w="90"/>
            </w:tcMar>
          </w:tcPr>
          <w:p>
            <w:pPr>
              <w:spacing w:after="20" w:before="20"/>
            </w:pPr>
            <w:r>
              <w:rPr>
                <w:sz w:val="19"/>
                <w:szCs w:val="19"/>
              </w:rPr>
              <w:t xml:space="preserve">Se aplica </w:t>
            </w:r>
            <w:r>
              <w:rPr>
                <w:rFonts w:ascii="Consolas" w:cs="Consolas" w:eastAsia="Consolas" w:hAnsi="Consolas"/>
                <w:sz w:val="19"/>
                <w:szCs w:val="19"/>
                <w:shd w:fill="F2F2F2" w:val="clear"/>
              </w:rPr>
              <w:t xml:space="preserve">esc_html</w:t>
            </w:r>
            <w:r>
              <w:rPr>
                <w:sz w:val="19"/>
                <w:szCs w:val="19"/>
              </w:rPr>
              <w:t xml:space="preserve">, </w:t>
            </w:r>
            <w:r>
              <w:rPr>
                <w:rFonts w:ascii="Consolas" w:cs="Consolas" w:eastAsia="Consolas" w:hAnsi="Consolas"/>
                <w:sz w:val="19"/>
                <w:szCs w:val="19"/>
                <w:shd w:fill="F2F2F2" w:val="clear"/>
              </w:rPr>
              <w:t xml:space="preserve">esc_url</w:t>
            </w:r>
            <w:r>
              <w:rPr>
                <w:sz w:val="19"/>
                <w:szCs w:val="19"/>
              </w:rPr>
              <w:t xml:space="preserve"> y </w:t>
            </w:r>
            <w:r>
              <w:rPr>
                <w:rFonts w:ascii="Consolas" w:cs="Consolas" w:eastAsia="Consolas" w:hAnsi="Consolas"/>
                <w:sz w:val="19"/>
                <w:szCs w:val="19"/>
                <w:shd w:fill="F2F2F2" w:val="clear"/>
              </w:rPr>
              <w:t xml:space="preserve">esc_attr</w:t>
            </w:r>
            <w:r>
              <w:rPr>
                <w:sz w:val="19"/>
                <w:szCs w:val="19"/>
              </w:rPr>
              <w:t xml:space="preserve"> en el panel del vendedor y en la pantalla de administración.</w:t>
            </w:r>
          </w:p>
        </w:tc>
      </w:tr>
      <w:tr>
        <w:tc>
          <w:tcPr>
            <w:tcW w:type="dxa" w:w="4680"/>
            <w:tcMar>
              <w:top w:type="dxa" w:w="60"/>
              <w:left w:type="dxa" w:w="90"/>
              <w:bottom w:type="dxa" w:w="60"/>
              <w:right w:type="dxa" w:w="90"/>
            </w:tcMar>
          </w:tcPr>
          <w:p>
            <w:pPr>
              <w:spacing w:after="20" w:before="20"/>
            </w:pPr>
            <w:r>
              <w:rPr>
                <w:sz w:val="19"/>
                <w:szCs w:val="19"/>
              </w:rPr>
              <w:t xml:space="preserve">Protección CSRF</w:t>
            </w:r>
          </w:p>
        </w:tc>
        <w:tc>
          <w:tcPr>
            <w:tcW w:type="dxa" w:w="4680"/>
            <w:tcMar>
              <w:top w:type="dxa" w:w="60"/>
              <w:left w:type="dxa" w:w="90"/>
              <w:bottom w:type="dxa" w:w="60"/>
              <w:right w:type="dxa" w:w="90"/>
            </w:tcMar>
          </w:tcPr>
          <w:p>
            <w:pPr>
              <w:spacing w:after="20" w:before="20"/>
            </w:pPr>
            <w:r>
              <w:rPr>
                <w:sz w:val="19"/>
                <w:szCs w:val="19"/>
              </w:rPr>
              <w:t xml:space="preserve">Las llamadas REST viajan con nonce </w:t>
            </w:r>
            <w:r>
              <w:rPr>
                <w:rFonts w:ascii="Consolas" w:cs="Consolas" w:eastAsia="Consolas" w:hAnsi="Consolas"/>
                <w:sz w:val="19"/>
                <w:szCs w:val="19"/>
                <w:shd w:fill="F2F2F2" w:val="clear"/>
              </w:rPr>
              <w:t xml:space="preserve">X-WP-Nonce</w:t>
            </w:r>
            <w:r>
              <w:rPr>
                <w:sz w:val="19"/>
                <w:szCs w:val="19"/>
              </w:rPr>
              <w:t xml:space="preserve">; WordPress lo exige para la autenticación por cookie.</w:t>
            </w:r>
          </w:p>
        </w:tc>
      </w:tr>
      <w:tr>
        <w:tc>
          <w:tcPr>
            <w:tcW w:type="dxa" w:w="4680"/>
            <w:tcMar>
              <w:top w:type="dxa" w:w="60"/>
              <w:left w:type="dxa" w:w="90"/>
              <w:bottom w:type="dxa" w:w="60"/>
              <w:right w:type="dxa" w:w="90"/>
            </w:tcMar>
          </w:tcPr>
          <w:p>
            <w:pPr>
              <w:spacing w:after="20" w:before="20"/>
            </w:pPr>
            <w:r>
              <w:rPr>
                <w:sz w:val="19"/>
                <w:szCs w:val="19"/>
              </w:rPr>
              <w:t xml:space="preserve">Confianza en la entrada</w:t>
            </w:r>
          </w:p>
        </w:tc>
        <w:tc>
          <w:tcPr>
            <w:tcW w:type="dxa" w:w="4680"/>
            <w:tcMar>
              <w:top w:type="dxa" w:w="60"/>
              <w:left w:type="dxa" w:w="90"/>
              <w:bottom w:type="dxa" w:w="60"/>
              <w:right w:type="dxa" w:w="90"/>
            </w:tcMar>
          </w:tcPr>
          <w:p>
            <w:pPr>
              <w:spacing w:after="20" w:before="20"/>
            </w:pPr>
            <w:r>
              <w:rPr>
                <w:sz w:val="19"/>
                <w:szCs w:val="19"/>
              </w:rPr>
              <w:t xml:space="preserve">Tras la corrección, el identificador de vendedor se toma </w:t>
            </w:r>
            <w:r>
              <w:rPr>
                <w:b/>
                <w:bCs/>
                <w:sz w:val="19"/>
                <w:szCs w:val="19"/>
              </w:rPr>
              <w:t xml:space="preserve">de la sesión</w:t>
            </w:r>
            <w:r>
              <w:rPr>
                <w:sz w:val="19"/>
                <w:szCs w:val="19"/>
              </w:rPr>
              <w:t xml:space="preserve">, nunca del cuerpo de la petición. Solo un administrador puede indicarlo explícitamente.</w:t>
            </w:r>
          </w:p>
        </w:tc>
      </w:tr>
      <w:tr>
        <w:tc>
          <w:tcPr>
            <w:tcW w:type="dxa" w:w="4680"/>
            <w:tcMar>
              <w:top w:type="dxa" w:w="60"/>
              <w:left w:type="dxa" w:w="90"/>
              <w:bottom w:type="dxa" w:w="60"/>
              <w:right w:type="dxa" w:w="90"/>
            </w:tcMar>
          </w:tcPr>
          <w:p>
            <w:pPr>
              <w:spacing w:after="20" w:before="20"/>
            </w:pPr>
            <w:r>
              <w:rPr>
                <w:sz w:val="19"/>
                <w:szCs w:val="19"/>
              </w:rPr>
              <w:t xml:space="preserve">Idempotencia</w:t>
            </w:r>
          </w:p>
        </w:tc>
        <w:tc>
          <w:tcPr>
            <w:tcW w:type="dxa" w:w="4680"/>
            <w:tcMar>
              <w:top w:type="dxa" w:w="60"/>
              <w:left w:type="dxa" w:w="90"/>
              <w:bottom w:type="dxa" w:w="60"/>
              <w:right w:type="dxa" w:w="90"/>
            </w:tcMar>
          </w:tcPr>
          <w:p>
            <w:pPr>
              <w:spacing w:after="20" w:before="20"/>
            </w:pPr>
            <w:r>
              <w:rPr>
                <w:sz w:val="19"/>
                <w:szCs w:val="19"/>
              </w:rPr>
              <w:t xml:space="preserve">Una guía ya generada no se vuelve a cobrar; el descuento al ledger está protegido por el metadato </w:t>
            </w:r>
            <w:r>
              <w:rPr>
                <w:rFonts w:ascii="Consolas" w:cs="Consolas" w:eastAsia="Consolas" w:hAnsi="Consolas"/>
                <w:sz w:val="19"/>
                <w:szCs w:val="19"/>
                <w:shd w:fill="F2F2F2" w:val="clear"/>
              </w:rPr>
              <w:t xml:space="preserve">_avs_ledger_done</w:t>
            </w:r>
            <w:r>
              <w:rPr>
                <w:sz w:val="19"/>
                <w:szCs w:val="19"/>
              </w:rPr>
              <w:t xml:space="preserve">.</w:t>
            </w:r>
          </w:p>
        </w:tc>
      </w:tr>
      <w:tr>
        <w:tc>
          <w:tcPr>
            <w:tcW w:type="dxa" w:w="4680"/>
            <w:tcMar>
              <w:top w:type="dxa" w:w="60"/>
              <w:left w:type="dxa" w:w="90"/>
              <w:bottom w:type="dxa" w:w="60"/>
              <w:right w:type="dxa" w:w="90"/>
            </w:tcMar>
          </w:tcPr>
          <w:p>
            <w:pPr>
              <w:spacing w:after="20" w:before="20"/>
            </w:pPr>
            <w:r>
              <w:rPr>
                <w:sz w:val="19"/>
                <w:szCs w:val="19"/>
              </w:rPr>
              <w:t xml:space="preserve">Almacenamiento de credenciales</w:t>
            </w:r>
          </w:p>
        </w:tc>
        <w:tc>
          <w:tcPr>
            <w:tcW w:type="dxa" w:w="4680"/>
            <w:tcMar>
              <w:top w:type="dxa" w:w="60"/>
              <w:left w:type="dxa" w:w="90"/>
              <w:bottom w:type="dxa" w:w="60"/>
              <w:right w:type="dxa" w:w="90"/>
            </w:tcMar>
          </w:tcPr>
          <w:p>
            <w:pPr>
              <w:spacing w:after="20" w:before="20"/>
            </w:pPr>
            <w:r>
              <w:rPr>
                <w:sz w:val="19"/>
                <w:szCs w:val="19"/>
              </w:rPr>
              <w:t xml:space="preserve">Las claves de API se guardan como opciones de WordPress y ya no se devuelven al navegador.</w:t>
            </w:r>
          </w:p>
        </w:tc>
      </w:tr>
      <w:tr>
        <w:tc>
          <w:tcPr>
            <w:tcW w:type="dxa" w:w="4680"/>
            <w:tcMar>
              <w:top w:type="dxa" w:w="60"/>
              <w:left w:type="dxa" w:w="90"/>
              <w:bottom w:type="dxa" w:w="60"/>
              <w:right w:type="dxa" w:w="90"/>
            </w:tcMar>
          </w:tcPr>
          <w:p>
            <w:pPr>
              <w:spacing w:after="20" w:before="20"/>
            </w:pPr>
            <w:r>
              <w:rPr>
                <w:sz w:val="19"/>
                <w:szCs w:val="19"/>
              </w:rPr>
              <w:t xml:space="preserve">Permisos del módulo de IA</w:t>
            </w:r>
          </w:p>
        </w:tc>
        <w:tc>
          <w:tcPr>
            <w:tcW w:type="dxa" w:w="4680"/>
            <w:tcMar>
              <w:top w:type="dxa" w:w="60"/>
              <w:left w:type="dxa" w:w="90"/>
              <w:bottom w:type="dxa" w:w="60"/>
              <w:right w:type="dxa" w:w="90"/>
            </w:tcMar>
          </w:tcPr>
          <w:p>
            <w:pPr>
              <w:spacing w:after="20" w:before="20"/>
            </w:pPr>
            <w:r>
              <w:rPr>
                <w:rFonts w:ascii="Consolas" w:cs="Consolas" w:eastAsia="Consolas" w:hAnsi="Consolas"/>
                <w:sz w:val="19"/>
                <w:szCs w:val="19"/>
                <w:shd w:fill="F2F2F2" w:val="clear"/>
              </w:rPr>
              <w:t xml:space="preserve">check_vendor_permission()</w:t>
            </w:r>
            <w:r>
              <w:rPr>
                <w:sz w:val="19"/>
                <w:szCs w:val="19"/>
              </w:rPr>
              <w:t xml:space="preserve"> </w:t>
            </w:r>
            <w:r>
              <w:rPr>
                <w:b/>
                <w:bCs/>
                <w:sz w:val="19"/>
                <w:szCs w:val="19"/>
              </w:rPr>
              <w:t xml:space="preserve">falla cerrado</w:t>
            </w:r>
            <w:r>
              <w:rPr>
                <w:sz w:val="19"/>
                <w:szCs w:val="19"/>
              </w:rPr>
              <w:t xml:space="preserve">: si la función de WCFM no existiera, recae en </w:t>
            </w:r>
            <w:r>
              <w:rPr>
                <w:rFonts w:ascii="Consolas" w:cs="Consolas" w:eastAsia="Consolas" w:hAnsi="Consolas"/>
                <w:sz w:val="19"/>
                <w:szCs w:val="19"/>
                <w:shd w:fill="F2F2F2" w:val="clear"/>
              </w:rPr>
              <w:t xml:space="preserve">manage_options</w:t>
            </w:r>
            <w:r>
              <w:rPr>
                <w:sz w:val="19"/>
                <w:szCs w:val="19"/>
              </w:rPr>
              <w:t xml:space="preserve"> en lugar de conceder acceso. Es el patrón correcto que faltaba en S-1.</w:t>
            </w:r>
          </w:p>
        </w:tc>
      </w:tr>
      <w:tr>
        <w:tc>
          <w:tcPr>
            <w:tcW w:type="dxa" w:w="4680"/>
            <w:tcMar>
              <w:top w:type="dxa" w:w="60"/>
              <w:left w:type="dxa" w:w="90"/>
              <w:bottom w:type="dxa" w:w="60"/>
              <w:right w:type="dxa" w:w="90"/>
            </w:tcMar>
          </w:tcPr>
          <w:p>
            <w:pPr>
              <w:spacing w:after="20" w:before="20"/>
            </w:pPr>
            <w:r>
              <w:rPr>
                <w:sz w:val="19"/>
                <w:szCs w:val="19"/>
              </w:rPr>
              <w:t xml:space="preserve">Ausencia de XSS en el módulo de IA</w:t>
            </w:r>
          </w:p>
        </w:tc>
        <w:tc>
          <w:tcPr>
            <w:tcW w:type="dxa" w:w="4680"/>
            <w:tcMar>
              <w:top w:type="dxa" w:w="60"/>
              <w:left w:type="dxa" w:w="90"/>
              <w:bottom w:type="dxa" w:w="60"/>
              <w:right w:type="dxa" w:w="90"/>
            </w:tcMar>
          </w:tcPr>
          <w:p>
            <w:pPr>
              <w:spacing w:after="20" w:before="20"/>
            </w:pPr>
            <w:r>
              <w:rPr>
                <w:sz w:val="19"/>
                <w:szCs w:val="19"/>
              </w:rPr>
              <w:t xml:space="preserve">La respuesta del modelo se inserta con </w:t>
            </w:r>
            <w:r>
              <w:rPr>
                <w:rFonts w:ascii="Consolas" w:cs="Consolas" w:eastAsia="Consolas" w:hAnsi="Consolas"/>
                <w:sz w:val="19"/>
                <w:szCs w:val="19"/>
                <w:shd w:fill="F2F2F2" w:val="clear"/>
              </w:rPr>
              <w:t xml:space="preserve">.val()</w:t>
            </w:r>
            <w:r>
              <w:rPr>
                <w:sz w:val="19"/>
                <w:szCs w:val="19"/>
              </w:rPr>
              <w:t xml:space="preserve"> en campos de formulario, no como HTML. No se detectó vector de XSS.</w:t>
            </w:r>
          </w:p>
        </w:tc>
      </w:tr>
    </w:tbl>
    <w:p>
      <w:pPr>
        <w:spacing w:after="120"/>
      </w:pPr>
    </w:p>
    <w:p>
      <w:pPr>
        <w:pBdr>
          <w:bottom w:val="single" w:color="D0D0D0" w:sz="6"/>
        </w:pBdr>
        <w:spacing w:after="120" w:before="80"/>
      </w:pPr>
    </w:p>
    <w:p>
      <w:pPr>
        <w:pStyle w:val="Heading2"/>
        <w:spacing w:after="120" w:before="240"/>
      </w:pPr>
      <w:r>
        <w:t xml:space="preserve">5. Conclusiones</w:t>
      </w:r>
    </w:p>
    <w:p>
      <w:pPr>
        <w:spacing w:after="60" w:before="60" w:line="276"/>
        <w:jc w:val="both"/>
      </w:pPr>
      <w:r>
        <w:t xml:space="preserve">La campaña de pruebas cumplió su objetivo, pero el resultado más relevante no fue confirmar lo que funcionaba, sino </w:t>
      </w:r>
      <w:r>
        <w:rPr>
          <w:b/>
          <w:bCs/>
        </w:rPr>
        <w:t xml:space="preserve">descubrir que la evidencia previa era falsa</w:t>
      </w:r>
      <w:r>
        <w:t xml:space="preserve">. El suite declaraba "9/9 aprobado" mientras siete de sus nueve pruebas ni siquiera llegaban a ejecutarse.</w:t>
      </w:r>
    </w:p>
    <w:p>
      <w:pPr>
        <w:spacing w:after="60" w:before="60" w:line="276"/>
        <w:jc w:val="both"/>
      </w:pPr>
      <w:r>
        <w:t xml:space="preserve">Corregido el marco de pruebas, la revisión de seguridad reveló dos defectos serios de control de acceso, ambos originados en la misma causa: </w:t>
      </w:r>
      <w:r>
        <w:rPr>
          <w:b/>
          <w:bCs/>
        </w:rPr>
        <w:t xml:space="preserve">confiar en una función que no existe</w:t>
      </w:r>
      <w:r>
        <w:t xml:space="preserve"> como guardia de permisos. El patrón </w:t>
      </w:r>
      <w:r>
        <w:rPr>
          <w:rFonts w:ascii="Consolas" w:cs="Consolas" w:eastAsia="Consolas" w:hAnsi="Consolas"/>
          <w:shd w:fill="F2F2F2" w:val="clear"/>
        </w:rPr>
        <w:t xml:space="preserve">! function_exists($f) || $f(...)</w:t>
      </w:r>
      <w:r>
        <w:t xml:space="preserve"> concede acceso cuando la dependencia falta, y estaba duplicado en dos lugares.</w:t>
      </w:r>
    </w:p>
    <w:p>
      <w:pPr>
        <w:spacing w:after="60" w:before="60" w:line="276"/>
        <w:jc w:val="both"/>
      </w:pPr>
      <w:r>
        <w:t xml:space="preserve">La auditoría del módulo de IA reveló un segundo patrón, esta vez de naturaleza económica: </w:t>
      </w:r>
      <w:r>
        <w:rPr>
          <w:b/>
          <w:bCs/>
        </w:rPr>
        <w:t xml:space="preserve">confiar en la entrada del cliente para decidir cuánto gasta el marketplace</w:t>
      </w:r>
      <w:r>
        <w:t xml:space="preserve">. El endpoint reenviaba a la IA el cuerpo completo de la petición sin tope de longitud, y la cuota mensual que debía contener el gasto era evadible con peticiones concurrentes. Ninguno de los dos era visible sin ejercitar el código.</w:t>
      </w:r>
    </w:p>
    <w:p>
      <w:pPr>
        <w:spacing w:after="60" w:before="60" w:line="276"/>
        <w:jc w:val="both"/>
      </w:pPr>
      <w:r>
        <w:t xml:space="preserve">Estado final:</w:t>
      </w:r>
    </w:p>
    <w:p>
      <w:pPr>
        <w:pStyle w:val="ListParagraph"/>
        <w:numPr>
          <w:ilvl w:val="0"/>
          <w:numId w:val="1"/>
        </w:numPr>
        <w:spacing w:after="40" w:before="40"/>
      </w:pPr>
      <w:r>
        <w:rPr>
          <w:b/>
          <w:bCs/>
        </w:rPr>
        <w:t xml:space="preserve">14 de 14 pruebas automatizadas aprobadas</w:t>
      </w:r>
      <w:r>
        <w:t xml:space="preserve"> (11 del módulo de envíos, 3 del de IA), con evidencia verificable.</w:t>
      </w:r>
    </w:p>
    <w:p>
      <w:pPr>
        <w:pStyle w:val="ListParagraph"/>
        <w:numPr>
          <w:ilvl w:val="0"/>
          <w:numId w:val="1"/>
        </w:numPr>
        <w:spacing w:after="40" w:before="40"/>
      </w:pPr>
      <w:r>
        <w:rPr>
          <w:b/>
          <w:bCs/>
        </w:rPr>
        <w:t xml:space="preserve">Dieciséis defectos corregidos</w:t>
      </w:r>
      <w:r>
        <w:t xml:space="preserve">, cuatro de severidad crítica o alta, con pruebas de regresión que impiden su reaparición.</w:t>
      </w:r>
    </w:p>
    <w:p>
      <w:pPr>
        <w:pStyle w:val="ListParagraph"/>
        <w:numPr>
          <w:ilvl w:val="0"/>
          <w:numId w:val="1"/>
        </w:numPr>
        <w:spacing w:after="40" w:before="40"/>
      </w:pPr>
      <w:r>
        <w:rPr>
          <w:b/>
          <w:bCs/>
        </w:rPr>
        <w:t xml:space="preserve">Ningún riesgo pendiente de aceptación.</w:t>
      </w:r>
      <w:r>
        <w:t xml:space="preserve"> El único que figuraba como aceptado (S-6) resultó ser corregible y se corrigió.</w:t>
      </w:r>
    </w:p>
    <w:p>
      <w:pPr>
        <w:pStyle w:val="Heading3"/>
        <w:spacing w:after="120" w:before="240"/>
      </w:pPr>
      <w:r>
        <w:t xml:space="preserve">5.1 Recomendaciones</w:t>
      </w:r>
    </w:p>
    <w:p>
      <w:pPr>
        <w:pStyle w:val="ListParagraph"/>
        <w:numPr>
          <w:ilvl w:val="0"/>
          <w:numId w:val="2"/>
        </w:numPr>
        <w:spacing w:after="40" w:before="40"/>
      </w:pPr>
      <w:r>
        <w:rPr>
          <w:b/>
          <w:bCs/>
        </w:rPr>
        <w:t xml:space="preserve">Prohibir `function_exists()` como guardia de autorización.</w:t>
      </w:r>
      <w:r>
        <w:t xml:space="preserve"> Si una dependencia falta, el sistema debe negar el acceso, no concederlo.</w:t>
      </w:r>
    </w:p>
    <w:p>
      <w:pPr>
        <w:pStyle w:val="ListParagraph"/>
        <w:numPr>
          <w:ilvl w:val="0"/>
          <w:numId w:val="2"/>
        </w:numPr>
        <w:spacing w:after="40" w:before="40"/>
      </w:pPr>
      <w:r>
        <w:rPr>
          <w:b/>
          <w:bCs/>
        </w:rPr>
        <w:t xml:space="preserve">Acotar siempre la entrada que llega a un servicio de pago por uso.</w:t>
      </w:r>
      <w:r>
        <w:t xml:space="preserve"> Todo campo que alcance una API facturable necesita lista blanca y tope de longitud; el límite de salida no protege del costo de entrada.</w:t>
      </w:r>
    </w:p>
    <w:p>
      <w:pPr>
        <w:pStyle w:val="ListParagraph"/>
        <w:numPr>
          <w:ilvl w:val="0"/>
          <w:numId w:val="2"/>
        </w:numPr>
        <w:spacing w:after="40" w:before="40"/>
      </w:pPr>
      <w:r>
        <w:rPr>
          <w:b/>
          <w:bCs/>
        </w:rPr>
        <w:t xml:space="preserve">Hacer atómico cualquier contador que controle gasto.</w:t>
      </w:r>
      <w:r>
        <w:t xml:space="preserve"> El patrón leer-comprobar-escribir no resiste concurrencia; la reserva debe preceder al consumo.</w:t>
      </w:r>
    </w:p>
    <w:p>
      <w:pPr>
        <w:pStyle w:val="ListParagraph"/>
        <w:numPr>
          <w:ilvl w:val="0"/>
          <w:numId w:val="2"/>
        </w:numPr>
        <w:spacing w:after="40" w:before="40"/>
      </w:pPr>
      <w:r>
        <w:rPr>
          <w:b/>
          <w:bCs/>
        </w:rPr>
        <w:t xml:space="preserve">No versionar nunca secretos.</w:t>
      </w:r>
      <w:r>
        <w:t xml:space="preserve"> </w:t>
      </w:r>
      <w:r>
        <w:rPr>
          <w:rFonts w:ascii="Consolas" w:cs="Consolas" w:eastAsia="Consolas" w:hAnsi="Consolas"/>
          <w:shd w:fill="F2F2F2" w:val="clear"/>
        </w:rPr>
        <w:t xml:space="preserve">wp-config.php</w:t>
      </w:r>
      <w:r>
        <w:t xml:space="preserve"> y los scripts con credenciales embebidas deben quedar fuera del control de versiones desde el primer commit.</w:t>
      </w:r>
    </w:p>
    <w:p>
      <w:pPr>
        <w:pStyle w:val="ListParagraph"/>
        <w:numPr>
          <w:ilvl w:val="0"/>
          <w:numId w:val="2"/>
        </w:numPr>
        <w:spacing w:after="40" w:before="40"/>
      </w:pPr>
      <w:r>
        <w:rPr>
          <w:b/>
          <w:bCs/>
        </w:rPr>
        <w:t xml:space="preserve">Desbloquear la cotización de Envia</w:t>
      </w:r>
      <w:r>
        <w:t xml:space="preserve"> en el panel Ecommerce Pro para ejercitar los flujos de guía de extremo a extremo con datos reales.</w:t>
      </w:r>
    </w:p>
    <w:p>
      <w:pPr>
        <w:pStyle w:val="ListParagraph"/>
        <w:numPr>
          <w:ilvl w:val="0"/>
          <w:numId w:val="2"/>
        </w:numPr>
        <w:spacing w:after="40" w:before="40"/>
      </w:pPr>
      <w:r>
        <w:rPr>
          <w:b/>
          <w:bCs/>
        </w:rPr>
        <w:t xml:space="preserve">Exigir peso y dimensiones</w:t>
      </w:r>
      <w:r>
        <w:t xml:space="preserve"> al publicar productos, para que las tarifas y las guías sean correctas.</w:t>
      </w:r>
    </w:p>
    <w:p>
      <w:pPr>
        <w:pStyle w:val="ListParagraph"/>
        <w:numPr>
          <w:ilvl w:val="0"/>
          <w:numId w:val="2"/>
        </w:numPr>
        <w:spacing w:after="40" w:before="40"/>
      </w:pPr>
      <w:r>
        <w:rPr>
          <w:b/>
          <w:bCs/>
        </w:rPr>
        <w:t xml:space="preserve">Revisar el resto de endpoints</w:t>
      </w:r>
      <w:r>
        <w:t xml:space="preserve"> con estos criterios antes de incorporar Mercado Pago Split, que manejará dinero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6F4A"/>
      <w:sz w:val="34"/>
      <w:szCs w:val="34"/>
    </w:rPr>
  </w:style>
  <w:style w:type="paragraph" w:styleId="Heading2">
    <w:name w:val="Heading 2"/>
    <w:basedOn w:val="Normal"/>
    <w:next w:val="Normal"/>
    <w:qFormat/>
    <w:pPr>
      <w:spacing w:after="110" w:before="260"/>
    </w:pPr>
    <w:rPr>
      <w:rFonts w:ascii="Calibri" w:cs="Calibri" w:eastAsia="Calibri" w:hAnsi="Calibri"/>
      <w:b/>
      <w:bCs/>
      <w:color w:val="2E2E2E"/>
      <w:sz w:val="27"/>
      <w:szCs w:val="27"/>
    </w:rPr>
  </w:style>
  <w:style w:type="paragraph" w:styleId="Heading3">
    <w:name w:val="Heading 3"/>
    <w:basedOn w:val="Normal"/>
    <w:next w:val="Normal"/>
    <w:qFormat/>
    <w:pPr>
      <w:spacing w:after="90" w:before="200"/>
    </w:pPr>
    <w:rPr>
      <w:rFonts w:ascii="Calibri" w:cs="Calibri" w:eastAsia="Calibri" w:hAnsi="Calibri"/>
      <w:b/>
      <w:bCs/>
      <w:color w:val="595959"/>
      <w:sz w:val="23"/>
      <w:szCs w:val="23"/>
    </w:rPr>
  </w:style>
  <w:style w:type="paragraph" w:styleId="Heading4">
    <w:name w:val="Heading 4"/>
    <w:basedOn w:val="Normal"/>
    <w:next w:val="Normal"/>
    <w:qFormat/>
    <w:pPr>
      <w:spacing w:after="80" w:before="160"/>
    </w:pPr>
    <w:rPr>
      <w:rFonts w:ascii="Calibri" w:cs="Calibri" w:eastAsia="Calibri" w:hAnsi="Calibri"/>
      <w:b/>
      <w:bCs/>
      <w:i/>
      <w:i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dc:title>
  <dc:creator>Marketplace Amazonia</dc:creator>
  <dc:description>Pruebas de funcionalidad, usabilidad y seguridad</dc:description>
  <cp:lastModifiedBy>Un-named</cp:lastModifiedBy>
  <cp:revision>1</cp:revision>
  <dcterms:created xsi:type="dcterms:W3CDTF">2026-07-18T06:44:04.910Z</dcterms:created>
  <dcterms:modified xsi:type="dcterms:W3CDTF">2026-07-18T06:44:04.910Z</dcterms:modified>
</cp:coreProperties>
</file>

<file path=docProps/custom.xml><?xml version="1.0" encoding="utf-8"?>
<Properties xmlns="http://schemas.openxmlformats.org/officeDocument/2006/custom-properties" xmlns:vt="http://schemas.openxmlformats.org/officeDocument/2006/docPropsVTypes"/>
</file>