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160"/>
      </w:pPr>
      <w:r>
        <w:rPr>
          <w:rFonts w:ascii="Calibri" w:hAnsi="Calibri" w:eastAsia="Calibri"/>
          <w:b/>
          <w:color w:val="2E74B5"/>
          <w:sz w:val="20"/>
        </w:rPr>
        <w:t>ТЕХНИЧЕСКИЙ ОТЧЁТ</w:t>
      </w:r>
    </w:p>
    <w:p>
      <w:pPr>
        <w:pStyle w:val="Title"/>
        <w:keepLines/>
      </w:pPr>
      <w:r>
        <w:rPr>
          <w:rFonts w:ascii="Calibri" w:hAnsi="Calibri" w:eastAsia="Calibri"/>
          <w:b/>
          <w:color w:val="0B2545"/>
          <w:sz w:val="60"/>
        </w:rPr>
        <w:t>Работа алгоритма</w:t>
        <w:br/>
        <w:t>DTW-корреляции скважин</w:t>
      </w:r>
    </w:p>
    <w:p>
      <w:pPr>
        <w:pStyle w:val="Subtitle"/>
      </w:pPr>
      <w:r>
        <w:rPr>
          <w:rFonts w:ascii="Calibri" w:hAnsi="Calibri" w:eastAsia="Calibri"/>
          <w:color w:val="667085"/>
          <w:sz w:val="28"/>
        </w:rPr>
        <w:t>Теоретические основы, особенности реализации minimal_dtw.py и выводы по сводной статистике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21"/>
        </w:rPr>
        <w:t xml:space="preserve">Объект анализа: </w:t>
      </w:r>
      <w:r>
        <w:rPr>
          <w:rFonts w:ascii="Calibri" w:hAnsi="Calibri" w:eastAsia="Calibri"/>
          <w:color w:val="1F2937"/>
          <w:sz w:val="21"/>
        </w:rPr>
        <w:t>последовательная корреляция 14 скважин, 13 соседних пар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21"/>
        </w:rPr>
        <w:t xml:space="preserve">Основа выводов: </w:t>
      </w:r>
      <w:r>
        <w:rPr>
          <w:rFonts w:ascii="Calibri" w:hAnsi="Calibri" w:eastAsia="Calibri"/>
          <w:color w:val="1F2937"/>
          <w:sz w:val="21"/>
        </w:rPr>
        <w:t>48 005 точек DTW-пути и 52 независимые проверки по маркерам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21"/>
        </w:rPr>
        <w:t xml:space="preserve">Дата: </w:t>
      </w:r>
      <w:r>
        <w:rPr>
          <w:rFonts w:ascii="Calibri" w:hAnsi="Calibri" w:eastAsia="Calibri"/>
          <w:color w:val="1F2937"/>
          <w:sz w:val="21"/>
        </w:rPr>
        <w:t>31 августа 2026 г.</w:t>
      </w:r>
    </w:p>
    <w:p>
      <w:pPr>
        <w:spacing w:after="4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left w:val="single" w:sz="18" w:space="0" w:color="2E74B5"/>
              <w:top w:val="nil"/>
              <w:right w:val="nil"/>
              <w:bottom w:val="nil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ГЛАВНЫЙ ВЫВОД</w:t>
              <w:br/>
            </w:r>
            <w:r>
              <w:rPr>
                <w:rFonts w:ascii="Calibri" w:hAnsi="Calibri" w:eastAsia="Calibri"/>
                <w:b/>
                <w:color w:val="0B2545"/>
                <w:sz w:val="22"/>
              </w:rPr>
              <w:t>DTW устойчиво совмещает большую часть кривых и обычно точно переносит маркеры, однако небольшая доля тяжёлых ошибок формирует длинный хвост распределения. Медиана |ΔMD| равна 0,70 ед. MD, тогда как максимум достигает 94,61 ед. MD.</w:t>
            </w:r>
          </w:p>
        </w:tc>
      </w:tr>
    </w:tbl>
    <w:p>
      <w:pPr>
        <w:spacing w:after="40" w:before="0"/>
      </w:pPr>
    </w:p>
    <w:p>
      <w:pPr>
        <w:spacing w:before="560"/>
        <w:jc w:val="center"/>
      </w:pPr>
      <w:r>
        <w:rPr>
          <w:rFonts w:ascii="Calibri" w:hAnsi="Calibri" w:eastAsia="Calibri"/>
          <w:i/>
          <w:color w:val="667085"/>
          <w:sz w:val="18"/>
        </w:rPr>
        <w:t>Подготовлено по текущей реализации minimal_dtw.py и статистике интерфейса plot_correlation.py</w:t>
      </w:r>
    </w:p>
    <w:p>
      <w:pPr>
        <w:spacing w:after="0"/>
      </w:pPr>
      <w:r>
        <w:br w:type="page"/>
      </w:r>
    </w:p>
    <w:p>
      <w:pPr>
        <w:pStyle w:val="Heading1"/>
      </w:pPr>
      <w:r>
        <w:t>Резюме</w:t>
      </w:r>
    </w:p>
    <w:p>
      <w:r>
        <w:rPr>
          <w:rFonts w:ascii="Calibri" w:hAnsi="Calibri" w:eastAsia="Calibri"/>
          <w:color w:val="1F2937"/>
        </w:rPr>
        <w:t>Алгоритм решает задачу нелинейного сопоставления каротажных кривых по измеренной глубине MD. Он очищает входные данные, переводит журналы на регулярную сетку, нормализует амплитуды и ищет монотонный путь минимальной стоимости внутри симметричного коридора. Горизонтальные и вертикальные шаги штрафуются, а геометрия пути проверяется набором QC-метрик.</w:t>
      </w:r>
    </w:p>
    <w:p>
      <w:pPr>
        <w:pStyle w:val="DTWBullet"/>
        <w:numPr>
          <w:ilvl w:val="0"/>
          <w:numId w:val="10"/>
        </w:numPr>
      </w:pPr>
      <w:r>
        <w:rPr>
          <w:rFonts w:ascii="Calibri" w:hAnsi="Calibri" w:eastAsia="Calibri"/>
          <w:color w:val="1F2937"/>
        </w:rPr>
        <w:t>Средняя локальная невязка почти одинакова при равном весе пар (0,222 |Δz|) и при равном весе точек пути (0,221 |Δz|). Это указывает на отсутствие сильного перекоса результата в пользу отдельных длинных путей.</w:t>
      </w:r>
    </w:p>
    <w:p>
      <w:pPr>
        <w:pStyle w:val="DTWBullet"/>
        <w:numPr>
          <w:ilvl w:val="0"/>
          <w:numId w:val="10"/>
        </w:numPr>
      </w:pPr>
      <w:r>
        <w:rPr>
          <w:rFonts w:ascii="Calibri" w:hAnsi="Calibri" w:eastAsia="Calibri"/>
          <w:color w:val="1F2937"/>
        </w:rPr>
        <w:t>Медиана локальной невязки 0,151 |Δz| заметно ниже среднего, а RMSE 0,320 |Δz| выше среднего. Следовательно, распределение асимметрично: большинство совпадений хорошее, но присутствует хвост крупных локальных несовпадений.</w:t>
      </w:r>
    </w:p>
    <w:p>
      <w:pPr>
        <w:pStyle w:val="DTWBullet"/>
        <w:numPr>
          <w:ilvl w:val="0"/>
          <w:numId w:val="10"/>
        </w:numPr>
      </w:pPr>
      <w:r>
        <w:rPr>
          <w:rFonts w:ascii="Calibri" w:hAnsi="Calibri" w:eastAsia="Calibri"/>
          <w:color w:val="1F2937"/>
        </w:rPr>
        <w:t>Маркерная медиана 0,70 ед. MD показывает высокую типичную точность. Одновременно MAE 6,91, RMSE 18,13 и максимум 94,61 ед. MD означают, что редкие ошибки существенно влияют на итоговую оценку.</w:t>
      </w:r>
    </w:p>
    <w:p>
      <w:pPr>
        <w:pStyle w:val="DTWBullet"/>
        <w:numPr>
          <w:ilvl w:val="0"/>
          <w:numId w:val="10"/>
        </w:numPr>
      </w:pPr>
      <w:r>
        <w:rPr>
          <w:rFonts w:ascii="Calibri" w:hAnsi="Calibri" w:eastAsia="Calibri"/>
          <w:color w:val="1F2937"/>
        </w:rPr>
        <w:t>Покрытие общих маркеров 100% подтверждает полноту проверки внутри доступных интервалов, но не является показателем точности само по себе.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  <w:tcBorders>
              <w:left w:val="single" w:sz="18" w:space="0" w:color="7A5A00"/>
              <w:top w:val="nil"/>
              <w:right w:val="nil"/>
              <w:bottom w:val="nil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ПРАКТИЧЕСКАЯ ОЦЕНКА</w:t>
              <w:br/>
            </w:r>
            <w:r>
              <w:rPr>
                <w:rFonts w:ascii="Calibri" w:hAnsi="Calibri" w:eastAsia="Calibri"/>
                <w:b/>
                <w:color w:val="0B2545"/>
                <w:sz w:val="22"/>
              </w:rPr>
              <w:t>Алгоритм пригоден как инструмент автоматической первичной корреляции и контроля согласованности. Для принятия геологических решений необходимо отдельно разбирать пары и маркеры из верхнего хвоста ошибок, особенно наблюдение с |ΔMD| = 94,61 ед. MD.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1. Цель и границы отчёта</w:t>
      </w:r>
    </w:p>
    <w:p>
      <w:r>
        <w:rPr>
          <w:rFonts w:ascii="Calibri" w:hAnsi="Calibri" w:eastAsia="Calibri"/>
          <w:color w:val="1F2937"/>
        </w:rPr>
        <w:t>Цель отчёта — объяснить математическую основу реализованного DTW, описать основные инженерные улучшения алгоритма и интерпретировать сводные метрики с предоставленного изображения. Исходные кривые, покомпонентные распределения и список маркерных ошибок не предоставлены, поэтому выводы относятся к агрегированной статистике и не заменяют покарточный геологический контроль.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540"/>
        <w:gridCol w:w="382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</w:tcBorders>
          </w:tcPr>
          <w:p>
            <w:pPr>
              <w:keepNext/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Уровень анализа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</w:tcBorders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Что оценивается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</w:tcBorders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Ограничение</w:t>
            </w:r>
          </w:p>
        </w:tc>
      </w:tr>
      <w:tr>
        <w:tc>
          <w:tcPr>
            <w:tcW w:type="dxa" w:w="200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DTW-путь</w:t>
            </w:r>
          </w:p>
        </w:tc>
        <w:tc>
          <w:tcPr>
            <w:tcW w:type="dxa" w:w="354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Сходство нормализованных кривых в сопоставленных точках</w:t>
            </w:r>
          </w:p>
        </w:tc>
        <w:tc>
          <w:tcPr>
            <w:tcW w:type="dxa" w:w="382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Не измеряет истинную геологическую ошибку напрямую</w:t>
            </w:r>
          </w:p>
        </w:tc>
      </w:tr>
      <w:tr>
        <w:tc>
          <w:tcPr>
            <w:tcW w:type="dxa" w:w="200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Маркеры</w:t>
            </w:r>
          </w:p>
        </w:tc>
        <w:tc>
          <w:tcPr>
            <w:tcW w:type="dxa" w:w="354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Ошибка переноса независимых стратиграфических отметок</w:t>
            </w:r>
          </w:p>
        </w:tc>
        <w:tc>
          <w:tcPr>
            <w:tcW w:type="dxa" w:w="382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52 проверки; важна чувствительность к выбросам</w:t>
            </w:r>
          </w:p>
        </w:tc>
      </w:tr>
      <w:tr>
        <w:tc>
          <w:tcPr>
            <w:tcW w:type="dxa" w:w="200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Набор</w:t>
            </w:r>
          </w:p>
        </w:tc>
        <w:tc>
          <w:tcPr>
            <w:tcW w:type="dxa" w:w="354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14 скважин, 13 последовательных пар</w:t>
            </w:r>
          </w:p>
        </w:tc>
        <w:tc>
          <w:tcPr>
            <w:tcW w:type="dxa" w:w="382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Не показана неоднородность качества между отдельными парами</w:t>
            </w:r>
          </w:p>
        </w:tc>
      </w:tr>
    </w:tbl>
    <w:p>
      <w:pPr>
        <w:spacing w:before="0" w:after="40"/>
      </w:pPr>
    </w:p>
    <w:p>
      <w:pPr>
        <w:spacing w:after="0"/>
      </w:pPr>
      <w:r>
        <w:br w:type="page"/>
      </w:r>
    </w:p>
    <w:p>
      <w:pPr>
        <w:pStyle w:val="Heading1"/>
      </w:pPr>
      <w:r>
        <w:t>2. Теоретическая основа DTW</w:t>
      </w:r>
    </w:p>
    <w:p>
      <w:pPr>
        <w:pStyle w:val="Heading2"/>
      </w:pPr>
      <w:r>
        <w:t>2.1. Идея динамического выравнивания</w:t>
      </w:r>
    </w:p>
    <w:p>
      <w:r>
        <w:rPr>
          <w:rFonts w:ascii="Calibri" w:hAnsi="Calibri" w:eastAsia="Calibri"/>
          <w:color w:val="1F2937"/>
        </w:rPr>
        <w:t>Dynamic Time Warping (DTW) сопоставляет две последовательности, допуская локальное растяжение и сжатие координаты. В задаче корреляции скважин роль времени играет MD. В отличие от обычной корреляции по одинаковым глубинам, DTW может связать точку одной кривой с соседними точками другой, сохраняя порядок слоёв.</w:t>
      </w:r>
    </w:p>
    <w:p>
      <w:r>
        <w:rPr>
          <w:rFonts w:ascii="Calibri" w:hAnsi="Calibri" w:eastAsia="Calibri"/>
          <w:color w:val="1F2937"/>
        </w:rPr>
        <w:t>Пусть после подготовки имеются нормализованные ряды zᴸ = (zᴸ₁, …, zᴸₙ) и zᴿ = (zᴿ₁, …, zᴿₘ). Локальная цена сопоставления — абсолютное различие амплитуд.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60"/>
              <w:jc w:val="center"/>
            </w:pPr>
            <w:r>
              <w:rPr>
                <w:rFonts w:ascii="Cambria Math" w:hAnsi="Cambria Math" w:eastAsia="Cambria Math"/>
                <w:b/>
                <w:color w:val="0B2545"/>
                <w:sz w:val="25"/>
              </w:rPr>
              <w:t>c(i, j) = |zᴸᵢ − zᴿⱼ|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9"/>
              </w:rPr>
              <w:t>Чем меньше c(i, j), тем ближе форма кривых в сопоставленных точках.</w:t>
            </w:r>
          </w:p>
        </w:tc>
      </w:tr>
    </w:tbl>
    <w:p>
      <w:pPr>
        <w:spacing w:after="20"/>
      </w:pPr>
    </w:p>
    <w:p>
      <w:pPr>
        <w:pStyle w:val="Heading2"/>
      </w:pPr>
      <w:r>
        <w:t>2.2. Динамическое программирование</w:t>
      </w:r>
    </w:p>
    <w:p>
      <w:r>
        <w:rPr>
          <w:rFonts w:ascii="Calibri" w:hAnsi="Calibri" w:eastAsia="Calibri"/>
          <w:color w:val="1F2937"/>
        </w:rPr>
        <w:t>Накопленная стоимость вычисляется по клеткам матрицы. Из каждой клетки разрешены три монотонных перехода: диагональный, вертикальный и горизонтальный. Последние два соответствуют локальной деформации шкалы глубины и получают штраф λ.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60"/>
              <w:jc w:val="center"/>
            </w:pPr>
            <w:r>
              <w:rPr>
                <w:rFonts w:ascii="Cambria Math" w:hAnsi="Cambria Math" w:eastAsia="Cambria Math"/>
                <w:b/>
                <w:color w:val="0B2545"/>
                <w:sz w:val="25"/>
              </w:rPr>
              <w:t>D(i, j) = c(i, j) + min{D(i−1, j−1), D(i−1, j)+λ, D(i, j−1)+λ}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9"/>
              </w:rPr>
              <w:t>Диагональный шаг не штрафуется; up/left добавляют warp_penalty = λ.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  <w:color w:val="1F2937"/>
        </w:rPr>
        <w:t>После заполнения матрицы выполняется обратный проход от (n−1, m−1) к (0, 0). Полученный путь P монотонен и непрерывен. Для воспроизводимости при равной стоимости реализация использует детерминированное разрешение ничьих и отдаёт предпочтение более короткому пути.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60"/>
              <w:jc w:val="center"/>
            </w:pPr>
            <w:r>
              <w:rPr>
                <w:rFonts w:ascii="Cambria Math" w:hAnsi="Cambria Math" w:eastAsia="Cambria Math"/>
                <w:b/>
                <w:color w:val="0B2545"/>
                <w:sz w:val="25"/>
              </w:rPr>
              <w:t>J(P) = Σ₍ᵢ,ⱼ₎∈P |zᴸᵢ − zᴿⱼ| + λ · Nwarp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9"/>
              </w:rPr>
              <w:t>Nwarp — число горизонтальных и вертикальных переходов; normalized_cost = J(P) / |P|.</w:t>
            </w:r>
          </w:p>
        </w:tc>
      </w:tr>
    </w:tbl>
    <w:p>
      <w:pPr>
        <w:spacing w:after="20"/>
      </w:pPr>
    </w:p>
    <w:p>
      <w:pPr>
        <w:pStyle w:val="Heading2"/>
      </w:pPr>
      <w:r>
        <w:t>2.3. Нормализация</w:t>
      </w:r>
    </w:p>
    <w:p>
      <w:r>
        <w:rPr>
          <w:rFonts w:ascii="Calibri" w:hAnsi="Calibri" w:eastAsia="Calibri"/>
          <w:color w:val="1F2937"/>
        </w:rPr>
        <w:t>Перед DTW каждая интерполированная кривая центрируется и масштабируется до единичного среднеквадратичного отклонения. Реализация использует численно устойчивое предварительное масштабирование, поэтому не переполняется на больших абсолютных значениях. При необходимости выбросы можно ограничить заданными процентилями до финальной стандартизации.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60"/>
              <w:jc w:val="center"/>
            </w:pPr>
            <w:r>
              <w:rPr>
                <w:rFonts w:ascii="Cambria Math" w:hAnsi="Cambria Math" w:eastAsia="Cambria Math"/>
                <w:b/>
                <w:color w:val="0B2545"/>
                <w:sz w:val="25"/>
              </w:rPr>
              <w:t>zᵢ = (xᵢ − μx) / σx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9"/>
              </w:rPr>
              <w:t>После нормализации единица |Δz| измеряется в стандартных отклонениях, а не в исходных единицах каротажа.</w:t>
            </w:r>
          </w:p>
        </w:tc>
      </w:tr>
    </w:tbl>
    <w:p>
      <w:pPr>
        <w:spacing w:after="20"/>
      </w:pPr>
    </w:p>
    <w:p>
      <w:pPr>
        <w:spacing w:after="0"/>
      </w:pPr>
      <w:r>
        <w:br w:type="page"/>
      </w:r>
    </w:p>
    <w:p>
      <w:pPr>
        <w:pStyle w:val="Heading1"/>
      </w:pPr>
      <w:r>
        <w:t>3. Коридор поиска и геометрия пути</w:t>
      </w:r>
    </w:p>
    <w:p>
      <w:pPr>
        <w:pStyle w:val="Heading2"/>
      </w:pPr>
      <w:r>
        <w:t>3.1. Симметричный коридор</w:t>
      </w:r>
    </w:p>
    <w:p>
      <w:r>
        <w:rPr>
          <w:rFonts w:ascii="Calibri" w:hAnsi="Calibri" w:eastAsia="Calibri"/>
          <w:color w:val="1F2937"/>
        </w:rPr>
        <w:t>Полная матрица DTW содержит n·m клеток. Для ограничения вычислений и предотвращения геологически маловероятной деформации используется относительный симметричный коридор вокруг масштабированной диагонали. Параметр window лежит в диапазоне от 0 до 1: при 1 доступна вся матрица; при 0 остаётся минимальный связный путь, а для рядов одинаковой длины — только главная диагональ.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  <w:tcBorders>
              <w:left w:val="single" w:sz="18" w:space="0" w:color="7A5A00"/>
              <w:top w:val="nil"/>
              <w:right w:val="nil"/>
              <w:bottom w:val="nil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ОТВЕТ НА ВОПРОС О РАСШИРЕНИИ КОРИДОРА</w:t>
              <w:br/>
            </w:r>
            <w:r>
              <w:rPr>
                <w:rFonts w:ascii="Calibri" w:hAnsi="Calibri" w:eastAsia="Calibri"/>
                <w:b/>
                <w:color w:val="0B2545"/>
                <w:sz w:val="22"/>
              </w:rPr>
              <w:t>Увеличение window расширяет множество допустимых путей и поэтому может снизить внутреннюю DTW-стоимость. Однако геологическая точность не обязана расти: слишком широкий коридор повышает риск переобучения на форме кривой и чрезмерной деформации MD. Выбирать window следует по независимым маркерам и QC, а не только по локальной стоимости.</w:t>
            </w:r>
          </w:p>
        </w:tc>
      </w:tr>
    </w:tbl>
    <w:p>
      <w:pPr>
        <w:spacing w:after="40" w:before="0"/>
      </w:pPr>
    </w:p>
    <w:p>
      <w:pPr>
        <w:pStyle w:val="DTWBullet"/>
        <w:numPr>
          <w:ilvl w:val="0"/>
          <w:numId w:val="11"/>
        </w:numPr>
      </w:pPr>
      <w:r>
        <w:rPr>
          <w:rFonts w:ascii="Calibri" w:hAnsi="Calibri" w:eastAsia="Calibri"/>
          <w:color w:val="1F2937"/>
        </w:rPr>
        <w:t>Если boundary_fraction велика, путь часто упирается в границу; это обоснованный повод проверить более широкий коридор.</w:t>
      </w:r>
    </w:p>
    <w:p>
      <w:pPr>
        <w:pStyle w:val="DTWBullet"/>
        <w:numPr>
          <w:ilvl w:val="0"/>
          <w:numId w:val="11"/>
        </w:numPr>
      </w:pPr>
      <w:r>
        <w:rPr>
          <w:rFonts w:ascii="Calibri" w:hAnsi="Calibri" w:eastAsia="Calibri"/>
          <w:color w:val="1F2937"/>
        </w:rPr>
        <w:t>Если boundary_fraction мала, простое расширение коридора обычно не имеет диагностического основания.</w:t>
      </w:r>
    </w:p>
    <w:p>
      <w:pPr>
        <w:pStyle w:val="DTWBullet"/>
        <w:numPr>
          <w:ilvl w:val="0"/>
          <w:numId w:val="11"/>
        </w:numPr>
      </w:pPr>
      <w:r>
        <w:rPr>
          <w:rFonts w:ascii="Calibri" w:hAnsi="Calibri" w:eastAsia="Calibri"/>
          <w:color w:val="1F2937"/>
        </w:rPr>
        <w:t>Сравнивать настройки нужно по MAE/медиане/P90 маркерной ошибки, доле недиагональных шагов и устойчивости результата между соседними значениями window.</w:t>
      </w:r>
    </w:p>
    <w:p>
      <w:pPr>
        <w:pStyle w:val="Heading2"/>
      </w:pPr>
      <w:r>
        <w:t>3.2. Шаги пути и контроль деформации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1900"/>
        <w:gridCol w:w="57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</w:tcBorders>
          </w:tcPr>
          <w:p>
            <w:pPr>
              <w:keepNext/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Переход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Изменение индексов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</w:tcBorders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Интерпретация</w:t>
            </w:r>
          </w:p>
        </w:tc>
      </w:tr>
      <w:tr>
        <w:tc>
          <w:tcPr>
            <w:tcW w:type="dxa" w:w="175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diagonal</w:t>
            </w:r>
          </w:p>
        </w:tc>
        <w:tc>
          <w:tcPr>
            <w:tcW w:type="dxa" w:w="190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9"/>
              </w:rPr>
              <w:t>(1, 1)</w:t>
            </w:r>
          </w:p>
        </w:tc>
        <w:tc>
          <w:tcPr>
            <w:tcW w:type="dxa" w:w="571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Одна точка левой кривой соответствует одной точке правой</w:t>
            </w:r>
          </w:p>
        </w:tc>
      </w:tr>
      <w:tr>
        <w:tc>
          <w:tcPr>
            <w:tcW w:type="dxa" w:w="175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up</w:t>
            </w:r>
          </w:p>
        </w:tc>
        <w:tc>
          <w:tcPr>
            <w:tcW w:type="dxa" w:w="190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9"/>
              </w:rPr>
              <w:t>(1, 0)</w:t>
            </w:r>
          </w:p>
        </w:tc>
        <w:tc>
          <w:tcPr>
            <w:tcW w:type="dxa" w:w="571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Несколько точек левой кривой могут соответствовать одной правой</w:t>
            </w:r>
          </w:p>
        </w:tc>
      </w:tr>
      <w:tr>
        <w:tc>
          <w:tcPr>
            <w:tcW w:type="dxa" w:w="175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left</w:t>
            </w:r>
          </w:p>
        </w:tc>
        <w:tc>
          <w:tcPr>
            <w:tcW w:type="dxa" w:w="190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9"/>
              </w:rPr>
              <w:t>(0, 1)</w:t>
            </w:r>
          </w:p>
        </w:tc>
        <w:tc>
          <w:tcPr>
            <w:tcW w:type="dxa" w:w="571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Одна точка левой кривой может соответствовать нескольким правым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Calibri"/>
          <w:color w:val="1F2937"/>
        </w:rPr>
        <w:t>Параметр max_warp_run в текущей реализации является постфактум QC-пределом. Алгоритм сначала находит оптимальный путь, затем отклоняет результат, если серия однотипных горизонтальных или вертикальных шагов слишком длинна. Это важно: параметр не ищет альтернативный путь с жёстко ограниченной серией, а проверяет уже найденный оптимум.</w:t>
      </w:r>
    </w:p>
    <w:p>
      <w:pPr>
        <w:pStyle w:val="Heading2"/>
      </w:pPr>
      <w:r>
        <w:t>3.3. Вычислительная сложность</w:t>
      </w:r>
    </w:p>
    <w:p>
      <w:r>
        <w:rPr>
          <w:rFonts w:ascii="Calibri" w:hAnsi="Calibri" w:eastAsia="Calibri"/>
          <w:color w:val="1F2937"/>
        </w:rPr>
        <w:t>Если коридор содержит C разрешённых клеток, время работы имеет порядок O(C). Стоимости хранятся только для двух строк, а указатели обратного пути — по одному байту на разрешённую клетку. При window = 1 величина C приближается к n·m. Реализация заранее проверяет число клеток, длину регулярной сетки и оценку памяти.</w:t>
      </w:r>
    </w:p>
    <w:p>
      <w:pPr>
        <w:spacing w:after="0"/>
      </w:pPr>
      <w:r>
        <w:br w:type="page"/>
      </w:r>
    </w:p>
    <w:p>
      <w:pPr>
        <w:pStyle w:val="Heading1"/>
      </w:pPr>
      <w:r>
        <w:t>4. Реализованный технологический процесс</w:t>
      </w:r>
    </w:p>
    <w:p>
      <w:pPr>
        <w:pStyle w:val="DTWNumber"/>
        <w:numPr>
          <w:ilvl w:val="0"/>
          <w:numId w:val="12"/>
        </w:numPr>
      </w:pPr>
      <w:r>
        <w:rPr>
          <w:rFonts w:ascii="Calibri" w:hAnsi="Calibri" w:eastAsia="Calibri"/>
          <w:color w:val="1F2937"/>
        </w:rPr>
        <w:t>Чтение CSV. Автоматически определяется распространённый разделитель и перебираются кодировки UTF-8, CP1251 и Latin-1; числовые значения поддерживают десятичную запятую.</w:t>
      </w:r>
    </w:p>
    <w:p>
      <w:pPr>
        <w:pStyle w:val="DTWNumber"/>
        <w:numPr>
          <w:ilvl w:val="0"/>
          <w:numId w:val="12"/>
        </w:numPr>
      </w:pPr>
      <w:r>
        <w:rPr>
          <w:rFonts w:ascii="Calibri" w:hAnsi="Calibri" w:eastAsia="Calibri"/>
          <w:color w:val="1F2937"/>
        </w:rPr>
        <w:t>Очистка. Удаляются некорректные MD, стандартные sentinel-значения −999,25; −999 и 999,25 переводятся в пропуски, дубли MD усредняются.</w:t>
      </w:r>
    </w:p>
    <w:p>
      <w:pPr>
        <w:pStyle w:val="DTWNumber"/>
        <w:numPr>
          <w:ilvl w:val="0"/>
          <w:numId w:val="12"/>
        </w:numPr>
      </w:pPr>
      <w:r>
        <w:rPr>
          <w:rFonts w:ascii="Calibri" w:hAnsi="Calibri" w:eastAsia="Calibri"/>
          <w:color w:val="1F2937"/>
        </w:rPr>
        <w:t>Регуляризация. Каждая скважина интерполируется на регулярную сетку. По умолчанию запрещена автоматическая интерполяция разрыва длиннее десяти шагов, если пользователь не разрешил её явно.</w:t>
      </w:r>
    </w:p>
    <w:p>
      <w:pPr>
        <w:pStyle w:val="DTWNumber"/>
        <w:numPr>
          <w:ilvl w:val="0"/>
          <w:numId w:val="12"/>
        </w:numPr>
      </w:pPr>
      <w:r>
        <w:rPr>
          <w:rFonts w:ascii="Calibri" w:hAnsi="Calibri" w:eastAsia="Calibri"/>
          <w:color w:val="1F2937"/>
        </w:rPr>
        <w:t>Нормализация. Кривые приводятся к сопоставимому безразмерному масштабу; опциональный clipping снижает влияние амплитудных выбросов.</w:t>
      </w:r>
    </w:p>
    <w:p>
      <w:pPr>
        <w:pStyle w:val="DTWNumber"/>
        <w:numPr>
          <w:ilvl w:val="0"/>
          <w:numId w:val="12"/>
        </w:numPr>
      </w:pPr>
      <w:r>
        <w:rPr>
          <w:rFonts w:ascii="Calibri" w:hAnsi="Calibri" w:eastAsia="Calibri"/>
          <w:color w:val="1F2937"/>
        </w:rPr>
        <w:t>DTW. Для каждой соседней пары A–B, B–C и далее ищется точный минимум внутри симметричного коридора с учётом warp_penalty.</w:t>
      </w:r>
    </w:p>
    <w:p>
      <w:pPr>
        <w:pStyle w:val="DTWNumber"/>
        <w:numPr>
          <w:ilvl w:val="0"/>
          <w:numId w:val="12"/>
        </w:numPr>
      </w:pPr>
      <w:r>
        <w:rPr>
          <w:rFonts w:ascii="Calibri" w:hAnsi="Calibri" w:eastAsia="Calibri"/>
          <w:color w:val="1F2937"/>
        </w:rPr>
        <w:t>Контроль качества. Сохраняются типы шагов, максимальная warp-серия, попадания на границу и доля границы; проверяются численная корректность и лимиты ресурсов.</w:t>
      </w:r>
    </w:p>
    <w:p>
      <w:pPr>
        <w:pStyle w:val="DTWNumber"/>
        <w:numPr>
          <w:ilvl w:val="0"/>
          <w:numId w:val="12"/>
        </w:numPr>
      </w:pPr>
      <w:r>
        <w:rPr>
          <w:rFonts w:ascii="Calibri" w:hAnsi="Calibri" w:eastAsia="Calibri"/>
          <w:color w:val="1F2937"/>
        </w:rPr>
        <w:t>Вывод. Полный путь и QC записываются в correlation.csv атомарно; plot_correlation.py валидирует новую схему и строит интерактивный отчёт, сохраняя поддержку старых CSV.</w:t>
      </w:r>
    </w:p>
    <w:p>
      <w:pPr>
        <w:pStyle w:val="Heading2"/>
      </w:pPr>
      <w:r>
        <w:t>4.1. Ключевые улучшения над минимальным DTW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</w:tcBorders>
          </w:tcPr>
          <w:p>
            <w:pPr>
              <w:keepNext/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Улучшение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</w:tcBorders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Практический эффект</w:t>
            </w:r>
          </w:p>
        </w:tc>
      </w:tr>
      <w:tr>
        <w:tc>
          <w:tcPr>
            <w:tcW w:type="dxa" w:w="285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Защищённый ввод и очистка</w:t>
            </w:r>
          </w:p>
        </w:tc>
        <w:tc>
          <w:tcPr>
            <w:tcW w:type="dxa" w:w="651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Меньше скрытых ошибок из-за кодировок, разделителей, пропусков и дублей MD</w:t>
            </w:r>
          </w:p>
        </w:tc>
      </w:tr>
      <w:tr>
        <w:tc>
          <w:tcPr>
            <w:tcW w:type="dxa" w:w="285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Контроль разрывов</w:t>
            </w:r>
          </w:p>
        </w:tc>
        <w:tc>
          <w:tcPr>
            <w:tcW w:type="dxa" w:w="651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Алгоритм не создаёт правдоподобную кривую через длинный участок без измерений по умолчанию</w:t>
            </w:r>
          </w:p>
        </w:tc>
      </w:tr>
      <w:tr>
        <w:tc>
          <w:tcPr>
            <w:tcW w:type="dxa" w:w="285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Устойчивая нормализация</w:t>
            </w:r>
          </w:p>
        </w:tc>
        <w:tc>
          <w:tcPr>
            <w:tcW w:type="dxa" w:w="651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Сравнивается форма кривых; снижен риск переполнения и влияния единиц измерения</w:t>
            </w:r>
          </w:p>
        </w:tc>
      </w:tr>
      <w:tr>
        <w:tc>
          <w:tcPr>
            <w:tcW w:type="dxa" w:w="285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Симметричный связный коридор</w:t>
            </w:r>
          </w:p>
        </w:tc>
        <w:tc>
          <w:tcPr>
            <w:tcW w:type="dxa" w:w="651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Сопоставление не зависит от направления пары и остаётся достижимым при разных длинах</w:t>
            </w:r>
          </w:p>
        </w:tc>
      </w:tr>
      <w:tr>
        <w:tc>
          <w:tcPr>
            <w:tcW w:type="dxa" w:w="285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Штраф warp-шагов</w:t>
            </w:r>
          </w:p>
        </w:tc>
        <w:tc>
          <w:tcPr>
            <w:tcW w:type="dxa" w:w="651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Сдерживается избыточное растяжение шкалы MD</w:t>
            </w:r>
          </w:p>
        </w:tc>
      </w:tr>
      <w:tr>
        <w:tc>
          <w:tcPr>
            <w:tcW w:type="dxa" w:w="285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Детерминированный backtracking</w:t>
            </w:r>
          </w:p>
        </w:tc>
        <w:tc>
          <w:tcPr>
            <w:tcW w:type="dxa" w:w="651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Повторный запуск на тех же данных даёт тот же путь</w:t>
            </w:r>
          </w:p>
        </w:tc>
      </w:tr>
      <w:tr>
        <w:tc>
          <w:tcPr>
            <w:tcW w:type="dxa" w:w="285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QC и ресурсные лимиты</w:t>
            </w:r>
          </w:p>
        </w:tc>
        <w:tc>
          <w:tcPr>
            <w:tcW w:type="dxa" w:w="651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Проблемные пути и чрезмерные вычисления выявляются до публикации результата</w:t>
            </w:r>
          </w:p>
        </w:tc>
      </w:tr>
    </w:tbl>
    <w:p>
      <w:pPr>
        <w:spacing w:before="0" w:after="40"/>
      </w:pPr>
    </w:p>
    <w:p>
      <w:pPr>
        <w:spacing w:after="0"/>
      </w:pPr>
      <w:r>
        <w:br w:type="page"/>
      </w:r>
    </w:p>
    <w:p>
      <w:pPr>
        <w:pStyle w:val="Heading1"/>
      </w:pPr>
      <w:r>
        <w:t>5. Статистика расчёта</w:t>
      </w:r>
    </w:p>
    <w:p>
      <w:r>
        <w:rPr>
          <w:rFonts w:ascii="Calibri" w:hAnsi="Calibri" w:eastAsia="Calibri"/>
          <w:color w:val="1F2937"/>
        </w:rPr>
        <w:t>На предоставленном изображении показана сводка интерактивного отчёта по цепочке из 14 скважин и 13 соседних пар. Суммарный DTW-путь содержит 48 005 точек. Ниже изображение приведено как первичный источник чисел; далее показатели переписаны в таблицы для читаемого анализа.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810226"/>
            <wp:docPr id="1" name="Picture 1" descr="Снимок экрана сводной статистики DTW-корреляции 14 скважин: 13 пар, 48005 точек пути, показатели DTW и маркерной невязки." title="Рисунок 1 — Предоставленная сводная статистика DTW-корреляции скважи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10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Рисунок 1 — Предоставленная сводная статистика DTW-корреляции скважин.</w:t>
      </w:r>
    </w:p>
    <w:p>
      <w:pPr>
        <w:pStyle w:val="TableCitation"/>
        <w:jc w:val="center"/>
      </w:pPr>
      <w:r>
        <w:t>Источник: изображение 123.jpg, предоставленное пользователем.</w:t>
      </w:r>
    </w:p>
    <w:p>
      <w:pPr>
        <w:pStyle w:val="Heading2"/>
      </w:pPr>
      <w:r>
        <w:t>5.1. Метрики локальной DTW-невязки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840"/>
        <w:gridCol w:w="502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</w:tcBorders>
          </w:tcPr>
          <w:p>
            <w:pPr>
              <w:keepNext/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Показатель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Значение</w:t>
            </w:r>
          </w:p>
        </w:tc>
        <w:tc>
          <w:tcPr>
            <w:tcW w:type="dxa" w:w="50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</w:tcBorders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Смысл</w:t>
            </w:r>
          </w:p>
        </w:tc>
      </w:tr>
      <w:tr>
        <w:tc>
          <w:tcPr>
            <w:tcW w:type="dxa" w:w="250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Среднее по парам</w:t>
            </w:r>
          </w:p>
        </w:tc>
        <w:tc>
          <w:tcPr>
            <w:tcW w:type="dxa" w:w="184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9"/>
              </w:rPr>
              <w:t>0,222 |Δz|</w:t>
            </w:r>
          </w:p>
        </w:tc>
        <w:tc>
          <w:tcPr>
            <w:tcW w:type="dxa" w:w="502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Макрооценка: каждая пара имеет одинаковый вес</w:t>
            </w:r>
          </w:p>
        </w:tc>
      </w:tr>
      <w:tr>
        <w:tc>
          <w:tcPr>
            <w:tcW w:type="dxa" w:w="250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Среднее по точкам пути</w:t>
            </w:r>
          </w:p>
        </w:tc>
        <w:tc>
          <w:tcPr>
            <w:tcW w:type="dxa" w:w="184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9"/>
              </w:rPr>
              <w:t>0,221 |Δz|</w:t>
            </w:r>
          </w:p>
        </w:tc>
        <w:tc>
          <w:tcPr>
            <w:tcW w:type="dxa" w:w="502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Микрооценка: каждая точка пути имеет одинаковый вес</w:t>
            </w:r>
          </w:p>
        </w:tc>
      </w:tr>
      <w:tr>
        <w:tc>
          <w:tcPr>
            <w:tcW w:type="dxa" w:w="250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Медиана</w:t>
            </w:r>
          </w:p>
        </w:tc>
        <w:tc>
          <w:tcPr>
            <w:tcW w:type="dxa" w:w="184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9"/>
              </w:rPr>
              <w:t>0,151 |Δz|</w:t>
            </w:r>
          </w:p>
        </w:tc>
        <w:tc>
          <w:tcPr>
            <w:tcW w:type="dxa" w:w="502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Типичная локальная невязка</w:t>
            </w:r>
          </w:p>
        </w:tc>
      </w:tr>
      <w:tr>
        <w:tc>
          <w:tcPr>
            <w:tcW w:type="dxa" w:w="250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P95</w:t>
            </w:r>
          </w:p>
        </w:tc>
        <w:tc>
          <w:tcPr>
            <w:tcW w:type="dxa" w:w="184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9"/>
              </w:rPr>
              <w:t>0,673 |Δz|</w:t>
            </w:r>
          </w:p>
        </w:tc>
        <w:tc>
          <w:tcPr>
            <w:tcW w:type="dxa" w:w="502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95% точек имеют невязку не выше этого уровня</w:t>
            </w:r>
          </w:p>
        </w:tc>
      </w:tr>
      <w:tr>
        <w:tc>
          <w:tcPr>
            <w:tcW w:type="dxa" w:w="250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RMSE</w:t>
            </w:r>
          </w:p>
        </w:tc>
        <w:tc>
          <w:tcPr>
            <w:tcW w:type="dxa" w:w="184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9"/>
              </w:rPr>
              <w:t>0,320 |Δz|</w:t>
            </w:r>
          </w:p>
        </w:tc>
        <w:tc>
          <w:tcPr>
            <w:tcW w:type="dxa" w:w="502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Сильнее реагирует на крупные отклонения</w:t>
            </w:r>
          </w:p>
        </w:tc>
      </w:tr>
      <w:tr>
        <w:tc>
          <w:tcPr>
            <w:tcW w:type="dxa" w:w="250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Максимум</w:t>
            </w:r>
          </w:p>
        </w:tc>
        <w:tc>
          <w:tcPr>
            <w:tcW w:type="dxa" w:w="184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9"/>
              </w:rPr>
              <w:t>2,834 |Δz|</w:t>
            </w:r>
          </w:p>
        </w:tc>
        <w:tc>
          <w:tcPr>
            <w:tcW w:type="dxa" w:w="502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Наиболее крупное локальное несовпадение</w:t>
            </w:r>
          </w:p>
        </w:tc>
      </w:tr>
    </w:tbl>
    <w:p>
      <w:pPr>
        <w:spacing w:before="0" w:after="40"/>
      </w:pPr>
    </w:p>
    <w:p>
      <w:pPr>
        <w:spacing w:after="0"/>
      </w:pPr>
      <w:r>
        <w:br w:type="page"/>
      </w:r>
    </w:p>
    <w:p>
      <w:pPr>
        <w:pStyle w:val="Heading2"/>
      </w:pPr>
      <w:r>
        <w:t>5.2. Маркерная проверка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950"/>
        <w:gridCol w:w="496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</w:tcBorders>
          </w:tcPr>
          <w:p>
            <w:pPr>
              <w:keepNext/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Показатель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Значение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  <w:tcBorders>
              <w:top w:val="single" w:sz="6" w:color="C9D2DC"/>
              <w:left w:val="single" w:sz="6" w:color="C9D2DC"/>
              <w:bottom w:val="single" w:sz="6" w:color="C9D2DC"/>
              <w:right w:val="single" w:sz="6" w:color="C9D2DC"/>
            </w:tcBorders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Интерпретация</w:t>
            </w:r>
          </w:p>
        </w:tc>
      </w:tr>
      <w:tr>
        <w:tc>
          <w:tcPr>
            <w:tcW w:type="dxa" w:w="245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Проверок пара–маркер</w:t>
            </w:r>
          </w:p>
        </w:tc>
        <w:tc>
          <w:tcPr>
            <w:tcW w:type="dxa" w:w="195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9"/>
              </w:rPr>
              <w:t>52</w:t>
            </w:r>
          </w:p>
        </w:tc>
        <w:tc>
          <w:tcPr>
            <w:tcW w:type="dxa" w:w="496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В среднем 4 проверки на одну из 13 пар</w:t>
            </w:r>
          </w:p>
        </w:tc>
      </w:tr>
      <w:tr>
        <w:tc>
          <w:tcPr>
            <w:tcW w:type="dxa" w:w="245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Покрытие общих маркеров</w:t>
            </w:r>
          </w:p>
        </w:tc>
        <w:tc>
          <w:tcPr>
            <w:tcW w:type="dxa" w:w="195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9"/>
              </w:rPr>
              <w:t>100,0%</w:t>
            </w:r>
          </w:p>
        </w:tc>
        <w:tc>
          <w:tcPr>
            <w:tcW w:type="dxa" w:w="496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Все доступные общие маркеры внутри интервалов DTW проверены</w:t>
            </w:r>
          </w:p>
        </w:tc>
      </w:tr>
      <w:tr>
        <w:tc>
          <w:tcPr>
            <w:tcW w:type="dxa" w:w="245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MAE</w:t>
            </w:r>
          </w:p>
        </w:tc>
        <w:tc>
          <w:tcPr>
            <w:tcW w:type="dxa" w:w="195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9"/>
              </w:rPr>
              <w:t>6,91 ед. MD</w:t>
            </w:r>
          </w:p>
        </w:tc>
        <w:tc>
          <w:tcPr>
            <w:tcW w:type="dxa" w:w="496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Средняя абсолютная ошибка</w:t>
            </w:r>
          </w:p>
        </w:tc>
      </w:tr>
      <w:tr>
        <w:tc>
          <w:tcPr>
            <w:tcW w:type="dxa" w:w="245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RMSE</w:t>
            </w:r>
          </w:p>
        </w:tc>
        <w:tc>
          <w:tcPr>
            <w:tcW w:type="dxa" w:w="195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9"/>
              </w:rPr>
              <w:t>18,13 ед. MD</w:t>
            </w:r>
          </w:p>
        </w:tc>
        <w:tc>
          <w:tcPr>
            <w:tcW w:type="dxa" w:w="496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Крупные ошибки имеют высокий вес</w:t>
            </w:r>
          </w:p>
        </w:tc>
      </w:tr>
      <w:tr>
        <w:tc>
          <w:tcPr>
            <w:tcW w:type="dxa" w:w="245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Медиана |ΔMD|</w:t>
            </w:r>
          </w:p>
        </w:tc>
        <w:tc>
          <w:tcPr>
            <w:tcW w:type="dxa" w:w="195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9"/>
              </w:rPr>
              <w:t>0,70 ед. MD</w:t>
            </w:r>
          </w:p>
        </w:tc>
        <w:tc>
          <w:tcPr>
            <w:tcW w:type="dxa" w:w="496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Типичная абсолютная ошибка</w:t>
            </w:r>
          </w:p>
        </w:tc>
      </w:tr>
      <w:tr>
        <w:tc>
          <w:tcPr>
            <w:tcW w:type="dxa" w:w="245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P90 |ΔMD|</w:t>
            </w:r>
          </w:p>
        </w:tc>
        <w:tc>
          <w:tcPr>
            <w:tcW w:type="dxa" w:w="195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9"/>
              </w:rPr>
              <w:t>13,77 ед. MD</w:t>
            </w:r>
          </w:p>
        </w:tc>
        <w:tc>
          <w:tcPr>
            <w:tcW w:type="dxa" w:w="496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Около 90% ошибок не превышают этот уровень</w:t>
            </w:r>
          </w:p>
        </w:tc>
      </w:tr>
      <w:tr>
        <w:tc>
          <w:tcPr>
            <w:tcW w:type="dxa" w:w="245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Смещение</w:t>
            </w:r>
          </w:p>
        </w:tc>
        <w:tc>
          <w:tcPr>
            <w:tcW w:type="dxa" w:w="195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9"/>
              </w:rPr>
              <w:t>−2,95 ед. MD</w:t>
            </w:r>
          </w:p>
        </w:tc>
        <w:tc>
          <w:tcPr>
            <w:tcW w:type="dxa" w:w="4960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Среднее signed-отклонение predicted_right_MD − reference_right_MD</w:t>
            </w:r>
          </w:p>
        </w:tc>
      </w:tr>
      <w:tr>
        <w:tc>
          <w:tcPr>
            <w:tcW w:type="dxa" w:w="245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Максимум |ΔMD|</w:t>
            </w:r>
          </w:p>
        </w:tc>
        <w:tc>
          <w:tcPr>
            <w:tcW w:type="dxa" w:w="195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9"/>
              </w:rPr>
              <w:t>94,61 ед. MD</w:t>
            </w:r>
          </w:p>
        </w:tc>
        <w:tc>
          <w:tcPr>
            <w:tcW w:type="dxa" w:w="4960"/>
            <w:shd w:fill="FAFBFC"/>
            <w:vAlign w:val="center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9"/>
              </w:rPr>
              <w:t>Крайняя ошибка, требующая отдельной диагностики</w:t>
            </w:r>
          </w:p>
        </w:tc>
      </w:tr>
    </w:tbl>
    <w:p>
      <w:pPr>
        <w:spacing w:before="0" w:after="40"/>
      </w:pP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00499"/>
            <wp:docPr id="2" name="Picture 2" descr="Две горизонтальные столбчатые диаграммы: локальные DTW-метрики и маркерные ошибки. В обеих группах максимум намного выше медианы." title="Рисунок 2 — Сопоставление типичных и хвостовых показателей ошиб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00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Рисунок 2 — Сопоставление типичных и хвостовых показателей ошибки.</w:t>
      </w:r>
    </w:p>
    <w:p>
      <w:pPr>
        <w:pStyle w:val="Heading1"/>
      </w:pPr>
      <w:r>
        <w:t>6. Интерпретация результатов</w:t>
      </w:r>
    </w:p>
    <w:p>
      <w:pPr>
        <w:pStyle w:val="Heading2"/>
      </w:pPr>
      <w:r>
        <w:t>6.1. Качество сопоставления кривых</w:t>
      </w:r>
    </w:p>
    <w:p>
      <w:r>
        <w:rPr>
          <w:rFonts w:ascii="Calibri" w:hAnsi="Calibri" w:eastAsia="Calibri"/>
          <w:color w:val="1F2937"/>
        </w:rPr>
        <w:t>Разница между средним по парам 0,222 и средним по всем точкам 0,221 составляет около 0,5% от уровня 0,222. Это хороший признак устойчивости агрегирования: длинные пути не изменяют общую картину радикально. Однако одинаковые средние не исключают наличия одной или нескольких плохих пар, поэтому необходима таблица результатов по каждой паре.</w:t>
      </w:r>
    </w:p>
    <w:p>
      <w:r>
        <w:rPr>
          <w:rFonts w:ascii="Calibri" w:hAnsi="Calibri" w:eastAsia="Calibri"/>
          <w:color w:val="1F2937"/>
        </w:rPr>
        <w:t>Медиана 0,151 ниже среднего 0,221 примерно в 1,46 раза, а RMSE 0,320 выше среднего примерно в 1,45 раза. Такая комбинация характерна для правого хвоста: основная масса локальных сопоставлений близка, но отдельные точки заметно хуже. P95 = 0,673 означает, что только верхние 5% точек превышают 0,673 |Δz|; максимум 2,834 в 4,2 раза выше P95 и выглядит как редкое экстремальное несовпадение.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left w:val="single" w:sz="18" w:space="0" w:color="2E74B5"/>
              <w:top w:val="nil"/>
              <w:right w:val="nil"/>
              <w:bottom w:val="nil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ЧТО ОЗНАЧАЕТ |ΔZ|</w:t>
              <w:br/>
            </w:r>
            <w:r>
              <w:rPr>
                <w:rFonts w:ascii="Calibri" w:hAnsi="Calibri" w:eastAsia="Calibri"/>
                <w:b/>
                <w:color w:val="0B2545"/>
                <w:sz w:val="22"/>
              </w:rPr>
              <w:t>Это безразмерная разность нормализованных амплитуд кривых. Она показывает качество совпадения формы сигнала вдоль найденного пути, но не равна ошибке глубины и не доказывает стратиграфическую корректность.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6.2. Качество переноса маркеров</w:t>
      </w:r>
    </w:p>
    <w:p>
      <w:r>
        <w:rPr>
          <w:rFonts w:ascii="Calibri" w:hAnsi="Calibri" w:eastAsia="Calibri"/>
          <w:color w:val="1F2937"/>
        </w:rPr>
        <w:t>Маркерная картина значительно более контрастна. Медиана 0,70 ед. MD показывает, что как минимум половина проверок выполнена с очень малой абсолютной ошибкой. При этом MAE 6,91 и RMSE 18,13 существенно выше медианы; отношение RMSE/MAE ≈ 2,62 подтверждает сильное влияние крупных ошибок.</w:t>
      </w:r>
    </w:p>
    <w:p>
      <w:r>
        <w:rPr>
          <w:rFonts w:ascii="Calibri" w:hAnsi="Calibri" w:eastAsia="Calibri"/>
          <w:color w:val="1F2937"/>
        </w:rPr>
        <w:t>P90 = 13,77 ед. MD почти в 19,7 раза выше медианы, а максимум 94,61 ед. MD — примерно в 135 раз. Следовательно, общая ошибка формируется не равномерным умеренным смещением всех маркеров, а небольшой группой тяжёлых промахов. RMSE выше P90, что также совместимо с крайне крупными значениями в верхних 10% распределения. Все отношения рассчитаны по округлённым значениям со скриншота и являются ориентировочными.</w:t>
      </w:r>
    </w:p>
    <w:p>
      <w:r>
        <w:rPr>
          <w:rFonts w:ascii="Calibri" w:hAnsi="Calibri" w:eastAsia="Calibri"/>
          <w:color w:val="1F2937"/>
        </w:rPr>
        <w:t>Смещение −2,95 ед. MD вычисляется как predicted_right_MD − reference_right_MD. При возрастании MD вниз отрицательный знак означает тенденцию прогнозировать маркер в правой скважине несколько мельче эталонной отметки. Но модуль смещения намного меньше RMSE, поэтому систематический сдвиг не объясняет основную проблему: доминируют разовые большие ошибки.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  <w:tcBorders>
              <w:left w:val="single" w:sz="18" w:space="0" w:color="7A5A00"/>
              <w:top w:val="nil"/>
              <w:right w:val="nil"/>
              <w:bottom w:val="nil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ПОКРЫТИЕ 100%</w:t>
              <w:br/>
            </w:r>
            <w:r>
              <w:rPr>
                <w:rFonts w:ascii="Calibri" w:hAnsi="Calibri" w:eastAsia="Calibri"/>
                <w:b/>
                <w:color w:val="0B2545"/>
                <w:sz w:val="22"/>
              </w:rPr>
              <w:t>Показатель означает, что все общие маркеры, доступные внутри интервалов DTW, вошли в проверку. Это характеристика полноты оценки, а не доля точных совпадений.</w:t>
            </w:r>
          </w:p>
        </w:tc>
      </w:tr>
    </w:tbl>
    <w:p>
      <w:pPr>
        <w:spacing w:after="40" w:before="0"/>
      </w:pPr>
    </w:p>
    <w:p>
      <w:pPr>
        <w:spacing w:after="0"/>
      </w:pPr>
      <w:r>
        <w:br w:type="page"/>
      </w:r>
    </w:p>
    <w:p>
      <w:pPr>
        <w:pStyle w:val="Heading1"/>
      </w:pPr>
      <w:r>
        <w:t>7. Риски и ограничения</w:t>
      </w:r>
    </w:p>
    <w:p>
      <w:pPr>
        <w:pStyle w:val="DTWBullet"/>
        <w:numPr>
          <w:ilvl w:val="0"/>
          <w:numId w:val="13"/>
        </w:numPr>
      </w:pPr>
      <w:r>
        <w:rPr>
          <w:rFonts w:ascii="Calibri" w:hAnsi="Calibri" w:eastAsia="Calibri"/>
          <w:color w:val="1F2937"/>
        </w:rPr>
        <w:t>Агрегаты скрывают неоднородность. Без разреза по 13 парам нельзя определить, сосредоточен ли максимум 94,61 ед. MD в одной проблемной паре или повторяется в нескольких.</w:t>
      </w:r>
    </w:p>
    <w:p>
      <w:pPr>
        <w:pStyle w:val="DTWBullet"/>
        <w:numPr>
          <w:ilvl w:val="0"/>
          <w:numId w:val="13"/>
        </w:numPr>
      </w:pPr>
      <w:r>
        <w:rPr>
          <w:rFonts w:ascii="Calibri" w:hAnsi="Calibri" w:eastAsia="Calibri"/>
          <w:color w:val="1F2937"/>
        </w:rPr>
        <w:t>DTW оптимизирует сходство выбранной кривой. Похожая форма каротажа может встречаться в разных стратиграфических интервалах, особенно при широком коридоре.</w:t>
      </w:r>
    </w:p>
    <w:p>
      <w:pPr>
        <w:pStyle w:val="DTWBullet"/>
        <w:numPr>
          <w:ilvl w:val="0"/>
          <w:numId w:val="13"/>
        </w:numPr>
      </w:pPr>
      <w:r>
        <w:rPr>
          <w:rFonts w:ascii="Calibri" w:hAnsi="Calibri" w:eastAsia="Calibri"/>
          <w:color w:val="1F2937"/>
        </w:rPr>
        <w:t>Z-нормализация намеренно удаляет уровень и масштаб амплитуды. Это улучшает сравнимость формы, но может скрыть геологически значимые различия абсолютных значений.</w:t>
      </w:r>
    </w:p>
    <w:p>
      <w:pPr>
        <w:pStyle w:val="DTWBullet"/>
        <w:numPr>
          <w:ilvl w:val="0"/>
          <w:numId w:val="13"/>
        </w:numPr>
      </w:pPr>
      <w:r>
        <w:rPr>
          <w:rFonts w:ascii="Calibri" w:hAnsi="Calibri" w:eastAsia="Calibri"/>
          <w:color w:val="1F2937"/>
        </w:rPr>
        <w:t>Интерполяция создаёт значения между измерениями. Длинные разрывы должны оставаться запрещёнными либо проверяться вручную.</w:t>
      </w:r>
    </w:p>
    <w:p>
      <w:pPr>
        <w:pStyle w:val="DTWBullet"/>
        <w:numPr>
          <w:ilvl w:val="0"/>
          <w:numId w:val="13"/>
        </w:numPr>
      </w:pPr>
      <w:r>
        <w:rPr>
          <w:rFonts w:ascii="Calibri" w:hAnsi="Calibri" w:eastAsia="Calibri"/>
          <w:color w:val="1F2937"/>
        </w:rPr>
        <w:t>Путь монотонен и не допускает инверсии порядка. Реальные разломы, пропуски разреза и сложная тектоника могут требовать сегментации или дополнительных ограничений.</w:t>
      </w:r>
    </w:p>
    <w:p>
      <w:pPr>
        <w:pStyle w:val="DTWBullet"/>
        <w:numPr>
          <w:ilvl w:val="0"/>
          <w:numId w:val="13"/>
        </w:numPr>
      </w:pPr>
      <w:r>
        <w:rPr>
          <w:rFonts w:ascii="Calibri" w:hAnsi="Calibri" w:eastAsia="Calibri"/>
          <w:color w:val="1F2937"/>
        </w:rPr>
        <w:t>52 проверки — полезная, но умеренная выборка. Для настройки параметров желательно использовать больше маркеров и разделять данные на настройку и независимую проверку.</w:t>
      </w:r>
    </w:p>
    <w:p>
      <w:pPr>
        <w:pStyle w:val="Heading1"/>
      </w:pPr>
      <w:r>
        <w:t>8. Рекомендации</w:t>
      </w:r>
    </w:p>
    <w:p>
      <w:pPr>
        <w:pStyle w:val="DTWNumber"/>
        <w:numPr>
          <w:ilvl w:val="0"/>
          <w:numId w:val="14"/>
        </w:numPr>
      </w:pPr>
      <w:r>
        <w:rPr>
          <w:rFonts w:ascii="Calibri" w:hAnsi="Calibri" w:eastAsia="Calibri"/>
          <w:color w:val="1F2937"/>
        </w:rPr>
        <w:t>Найти пару и маркер с |ΔMD| = 94,61 ед. MD. Проверить корректность имени маркера, единицы MD, исходные координаты, границы интервала, пропуски и качество кривой.</w:t>
      </w:r>
    </w:p>
    <w:p>
      <w:pPr>
        <w:pStyle w:val="DTWNumber"/>
        <w:numPr>
          <w:ilvl w:val="0"/>
          <w:numId w:val="14"/>
        </w:numPr>
      </w:pPr>
      <w:r>
        <w:rPr>
          <w:rFonts w:ascii="Calibri" w:hAnsi="Calibri" w:eastAsia="Calibri"/>
          <w:color w:val="1F2937"/>
        </w:rPr>
        <w:t>Построить рейтинг всех 52 проверок и отдельно изучить верхние 10% ошибок. Для каждой записи показать фактическую и прогнозную MD, локальный фрагмент кривых и положение пути.</w:t>
      </w:r>
    </w:p>
    <w:p>
      <w:pPr>
        <w:pStyle w:val="DTWNumber"/>
        <w:numPr>
          <w:ilvl w:val="0"/>
          <w:numId w:val="14"/>
        </w:numPr>
      </w:pPr>
      <w:r>
        <w:rPr>
          <w:rFonts w:ascii="Calibri" w:hAnsi="Calibri" w:eastAsia="Calibri"/>
          <w:color w:val="1F2937"/>
        </w:rPr>
        <w:t>Сравнить несколько значений window на одинаковом наборе маркеров. Расширять коридор прежде всего для пар с высокой boundary_fraction; фиксировать одновременно медиану, MAE, P90, максимум и долю недиагональных шагов.</w:t>
      </w:r>
    </w:p>
    <w:p>
      <w:pPr>
        <w:pStyle w:val="DTWNumber"/>
        <w:numPr>
          <w:ilvl w:val="0"/>
          <w:numId w:val="14"/>
        </w:numPr>
      </w:pPr>
      <w:r>
        <w:rPr>
          <w:rFonts w:ascii="Calibri" w:hAnsi="Calibri" w:eastAsia="Calibri"/>
          <w:color w:val="1F2937"/>
        </w:rPr>
        <w:t>Настроить warp_penalty совместно с window. Более высокий штраф обычно уменьшает избыточные горизонтальные/вертикальные серии, но может ухудшить совпадение при реальном изменении мощности пластов.</w:t>
      </w:r>
    </w:p>
    <w:p>
      <w:pPr>
        <w:pStyle w:val="DTWNumber"/>
        <w:numPr>
          <w:ilvl w:val="0"/>
          <w:numId w:val="14"/>
        </w:numPr>
      </w:pPr>
      <w:r>
        <w:rPr>
          <w:rFonts w:ascii="Calibri" w:hAnsi="Calibri" w:eastAsia="Calibri"/>
          <w:color w:val="1F2937"/>
        </w:rPr>
        <w:t>Использовать max_warp_run как сигнал браковки и отчётливо помнить, что это постфактум QC. Если нужен обязательный предел внутри оптимизации, потребуется динамическое программирование с состоянием длины серии.</w:t>
      </w:r>
    </w:p>
    <w:p>
      <w:pPr>
        <w:pStyle w:val="DTWNumber"/>
        <w:numPr>
          <w:ilvl w:val="0"/>
          <w:numId w:val="14"/>
        </w:numPr>
      </w:pPr>
      <w:r>
        <w:rPr>
          <w:rFonts w:ascii="Calibri" w:hAnsi="Calibri" w:eastAsia="Calibri"/>
          <w:color w:val="1F2937"/>
        </w:rPr>
        <w:t>Сохранять две группы метрик: робастные (медиана, P90/P95) и чувствительные к хвосту (MAE, RMSE, максимум). Публикация только среднего скрывает основную особенность текущего результата.</w:t>
      </w:r>
    </w:p>
    <w:p>
      <w:pPr>
        <w:pStyle w:val="DTWNumber"/>
        <w:numPr>
          <w:ilvl w:val="0"/>
          <w:numId w:val="14"/>
        </w:numPr>
      </w:pPr>
      <w:r>
        <w:rPr>
          <w:rFonts w:ascii="Calibri" w:hAnsi="Calibri" w:eastAsia="Calibri"/>
          <w:color w:val="1F2937"/>
        </w:rPr>
        <w:t>После настройки повторить оценку на независимом наборе маркеров, не использованном при выборе window и warp_penalty. Это даст честную оценку обобщающей геологической точности.</w:t>
      </w:r>
    </w:p>
    <w:p>
      <w:pPr>
        <w:pStyle w:val="Heading1"/>
      </w:pPr>
      <w:r>
        <w:t>9. Итоговое заключение</w:t>
      </w:r>
    </w:p>
    <w:p>
      <w:r>
        <w:rPr>
          <w:rFonts w:ascii="Calibri" w:hAnsi="Calibri" w:eastAsia="Calibri"/>
          <w:color w:val="1F2937"/>
        </w:rPr>
        <w:t>Текущая реализация minimal_dtw.py представляет собой устойчивый точный DTW внутри управляемого коридора с полноценной подготовкой данных, штрафом деформации, детерминированным восстановлением пути, QC-метриками и ограничениями ресурсов. По 48 005 точкам пути форма кривых в целом сопоставляется хорошо: медианная локальная невязка составляет 0,151 |Δz|, а макро- и микросредние практически совпадают.</w:t>
      </w:r>
    </w:p>
    <w:p>
      <w:r>
        <w:rPr>
          <w:rFonts w:ascii="Calibri" w:hAnsi="Calibri" w:eastAsia="Calibri"/>
          <w:color w:val="1F2937"/>
        </w:rPr>
        <w:t>Независимая маркерная проверка показывает двойственный результат. Типичный перенос очень точен — медиана 0,70 ед. MD, покрытие доступных общих маркеров полное. Но длинный хвост с RMSE 18,13 и максимумом 94,61 ед. MD не позволяет считать качество равномерно высоким. Основной резерв улучшения заключается не в безусловном расширении коридора, а в адресной диагностике выбросов и подборе window/warp_penalty по независимым маркерным метрикам.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left w:val="single" w:sz="18" w:space="0" w:color="2E74B5"/>
              <w:top w:val="nil"/>
              <w:right w:val="nil"/>
              <w:bottom w:val="nil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>ИТОГОВАЯ ОЦЕНКА</w:t>
              <w:br/>
            </w:r>
            <w:r>
              <w:rPr>
                <w:rFonts w:ascii="Calibri" w:hAnsi="Calibri" w:eastAsia="Calibri"/>
                <w:b/>
                <w:color w:val="0B2545"/>
                <w:sz w:val="22"/>
              </w:rPr>
              <w:t>Алгоритм готов для автоматизированной предварительной корреляции и аналитического контроля. Перед производственным использованием требуется локализовать тяжёлые маркерные ошибки и подтвердить параметры на независимой выборке.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Использованные материалы</w:t>
      </w:r>
    </w:p>
    <w:p>
      <w:pPr>
        <w:pStyle w:val="DTWNumber"/>
        <w:numPr>
          <w:ilvl w:val="0"/>
          <w:numId w:val="15"/>
        </w:numPr>
      </w:pPr>
      <w:r>
        <w:rPr>
          <w:rFonts w:ascii="Calibri" w:hAnsi="Calibri" w:eastAsia="Calibri"/>
          <w:color w:val="1F2937"/>
        </w:rPr>
        <w:t>Текущая реализация minimal_dtw.py в рабочем проекте DTW.</w:t>
      </w:r>
    </w:p>
    <w:p>
      <w:pPr>
        <w:pStyle w:val="DTWNumber"/>
        <w:numPr>
          <w:ilvl w:val="0"/>
          <w:numId w:val="15"/>
        </w:numPr>
      </w:pPr>
      <w:r>
        <w:rPr>
          <w:rFonts w:ascii="Calibri" w:hAnsi="Calibri" w:eastAsia="Calibri"/>
          <w:color w:val="1F2937"/>
        </w:rPr>
        <w:t>Модуль plot_correlation.py: определения сводных DTW- и маркерных метрик.</w:t>
      </w:r>
    </w:p>
    <w:p>
      <w:pPr>
        <w:pStyle w:val="DTWNumber"/>
        <w:numPr>
          <w:ilvl w:val="0"/>
          <w:numId w:val="15"/>
        </w:numPr>
      </w:pPr>
      <w:r>
        <w:rPr>
          <w:rFonts w:ascii="Calibri" w:hAnsi="Calibri" w:eastAsia="Calibri"/>
          <w:color w:val="1F2937"/>
        </w:rPr>
        <w:t>Изображение 123.jpg со сводной статистикой, предоставленное пользователем.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Calibri" w:hAnsi="Calibri" w:eastAsia="Calibri"/>
        <w:color w:val="667085"/>
        <w:sz w:val="18"/>
      </w:rPr>
      <w:t>Технический отчёт · 31.08.2026</w:t>
    </w:r>
    <w:r>
      <w:tab/>
    </w:r>
    <w:r>
      <w:rPr>
        <w:rFonts w:ascii="Calibri" w:hAnsi="Calibri" w:eastAsia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Calibri"/>
        <w:b/>
        <w:color w:val="667085"/>
        <w:sz w:val="17"/>
      </w:rPr>
      <w:t>DTW-КОРРЕЛЯЦИЯ СКВАЖИН</w:t>
    </w:r>
    <w:r>
      <w:rPr>
        <w:rFonts w:ascii="Calibri" w:hAnsi="Calibri" w:eastAsia="Calibri"/>
        <w:color w:val="667085"/>
        <w:sz w:val="17"/>
      </w:rPr>
      <w:tab/>
      <w:t>minimal_dtw.py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</w:abstractNum>
  <w:num w:numId="10">
    <w:abstractNumId w:val="9"/>
  </w:num>
  <w:abstractNum w:abstractNumId="10">
    <w:multiLevelType w:val="singleLevel"/>
  </w:abstractNum>
  <w:num w:numId="11">
    <w:abstractNumId w:val="10"/>
  </w:num>
  <w:abstractNum w:abstractNumId="11">
    <w:multiLevelType w:val="singleLevel"/>
  </w:abstractNum>
  <w:num w:numId="12">
    <w:abstractNumId w:val="11"/>
  </w:num>
  <w:abstractNum w:abstractNumId="12">
    <w:multiLevelType w:val="singleLevel"/>
  </w:abstractNum>
  <w:num w:numId="13">
    <w:abstractNumId w:val="12"/>
  </w:num>
  <w:abstractNum w:abstractNumId="13">
    <w:multiLevelType w:val="singleLevel"/>
  </w:abstractNum>
  <w:num w:numId="14">
    <w:abstractNumId w:val="13"/>
  </w:num>
  <w:abstractNum w:abstractNumId="14">
    <w:multiLevelType w:val="singleLevel"/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64" w:lineRule="auto"/>
    </w:pPr>
    <w:rPr>
      <w:rFonts w:asciiTheme="majorHAnsi" w:eastAsiaTheme="majorEastAsia" w:hAnsiTheme="majorHAnsi" w:cstheme="majorBidi" w:ascii="Calibri" w:hAnsi="Calibri"/>
      <w:i w:val="0"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TWBullet">
    <w:name w:val="DTW Bullet"/>
    <w:basedOn w:val="Normal"/>
    <w:pPr>
      <w:spacing w:before="0" w:after="160" w:line="280" w:lineRule="auto"/>
    </w:pPr>
    <w:rPr>
      <w:rFonts w:ascii="Calibri" w:hAnsi="Calibri"/>
      <w:sz w:val="22"/>
    </w:rPr>
  </w:style>
  <w:style w:type="paragraph" w:customStyle="1" w:styleId="DTWNumber">
    <w:name w:val="DTW Number"/>
    <w:basedOn w:val="Normal"/>
    <w:pPr>
      <w:spacing w:before="0" w:after="160" w:line="280" w:lineRule="auto"/>
    </w:pPr>
    <w:rPr>
      <w:rFonts w:ascii="Calibri" w:hAnsi="Calibri"/>
      <w:sz w:val="22"/>
    </w:rPr>
  </w:style>
  <w:style w:type="paragraph" w:customStyle="1" w:styleId="FigureCaption">
    <w:name w:val="Figure Caption"/>
    <w:basedOn w:val="Normal"/>
    <w:pPr>
      <w:keepLines/>
      <w:spacing w:before="80" w:after="200"/>
    </w:pPr>
    <w:rPr>
      <w:rFonts w:ascii="Calibri" w:hAnsi="Calibri"/>
      <w:i/>
      <w:color w:val="667085"/>
      <w:sz w:val="19"/>
    </w:rPr>
  </w:style>
  <w:style w:type="paragraph" w:customStyle="1" w:styleId="TableCitation">
    <w:name w:val="Table Citation"/>
    <w:basedOn w:val="Normal"/>
    <w:pPr>
      <w:spacing w:before="80" w:after="80"/>
    </w:pPr>
    <w:rPr>
      <w:rFonts w:ascii="Calibri" w:hAnsi="Calibri"/>
      <w:i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работе алгоритма DTW-корреляции скважин</dc:title>
  <dc:subject>Теория DTW, реализация minimal_dtw.py и анализ сводной статистики</dc:subject>
  <dc:creator/>
  <cp:keywords>DTW, скважины, корреляция, маркеры, MD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