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Calibri" w:hAnsi="Calibri" w:eastAsia="Calibri"/>
          <w:b/>
          <w:color w:val="2E74B5"/>
          <w:sz w:val="20"/>
        </w:rPr>
        <w:t>ТЕХНИЧЕСКИЙ ОТЧЕТ</w:t>
      </w:r>
    </w:p>
    <w:p>
      <w:pPr>
        <w:keepNext/>
        <w:spacing w:after="100"/>
      </w:pPr>
      <w:r>
        <w:rPr>
          <w:rFonts w:ascii="Calibri" w:hAnsi="Calibri" w:eastAsia="Calibri"/>
          <w:b/>
          <w:color w:val="203040"/>
          <w:sz w:val="48"/>
        </w:rPr>
        <w:t>Работа алгоритма GeoFUGW-Spline</w:t>
      </w:r>
    </w:p>
    <w:p>
      <w:pPr>
        <w:spacing w:after="280"/>
      </w:pPr>
      <w:r>
        <w:rPr>
          <w:rFonts w:ascii="Calibri" w:hAnsi="Calibri" w:eastAsia="Calibri"/>
          <w:color w:val="5B6573"/>
          <w:sz w:val="27"/>
        </w:rPr>
        <w:t>Теоретические основы, вычислительный конвейер и анализ корреляции 13 скважин</w:t>
      </w:r>
    </w:p>
    <w:p>
      <w:pPr>
        <w:spacing w:after="40"/>
      </w:pPr>
      <w:r>
        <w:rPr>
          <w:rFonts w:ascii="Calibri" w:hAnsi="Calibri" w:eastAsia="Calibri"/>
          <w:b/>
          <w:color w:val="203040"/>
          <w:sz w:val="20"/>
        </w:rPr>
        <w:t xml:space="preserve">Реализация: </w:t>
      </w:r>
      <w:r>
        <w:rPr>
          <w:rFonts w:ascii="Calibri" w:hAnsi="Calibri" w:eastAsia="Calibri"/>
          <w:color w:val="203040"/>
          <w:sz w:val="20"/>
        </w:rPr>
        <w:t>GeoFUGW-Spline.py, событийная аппроксимация FUGW</w:t>
      </w:r>
    </w:p>
    <w:p>
      <w:pPr>
        <w:spacing w:after="40"/>
      </w:pPr>
      <w:r>
        <w:rPr>
          <w:rFonts w:ascii="Calibri" w:hAnsi="Calibri" w:eastAsia="Calibri"/>
          <w:b/>
          <w:color w:val="203040"/>
          <w:sz w:val="20"/>
        </w:rPr>
        <w:t xml:space="preserve">Исходный результат: </w:t>
      </w:r>
      <w:r>
        <w:rPr>
          <w:rFonts w:ascii="Calibri" w:hAnsi="Calibri" w:eastAsia="Calibri"/>
          <w:color w:val="203040"/>
          <w:sz w:val="20"/>
        </w:rPr>
        <w:t>correlation_fugw.csv и внешние маркеры markers.xlsx</w:t>
      </w:r>
    </w:p>
    <w:p>
      <w:pPr>
        <w:spacing w:after="40"/>
      </w:pPr>
      <w:r>
        <w:rPr>
          <w:rFonts w:ascii="Calibri" w:hAnsi="Calibri" w:eastAsia="Calibri"/>
          <w:b/>
          <w:color w:val="203040"/>
          <w:sz w:val="20"/>
        </w:rPr>
        <w:t xml:space="preserve">Объем выборки: </w:t>
      </w:r>
      <w:r>
        <w:rPr>
          <w:rFonts w:ascii="Calibri" w:hAnsi="Calibri" w:eastAsia="Calibri"/>
          <w:color w:val="203040"/>
          <w:sz w:val="20"/>
        </w:rPr>
        <w:t>13 скважин, 12 последовательных пар, 25 450 точек пути</w:t>
      </w:r>
    </w:p>
    <w:p>
      <w:pPr>
        <w:spacing w:after="40"/>
      </w:pPr>
      <w:r>
        <w:rPr>
          <w:rFonts w:ascii="Calibri" w:hAnsi="Calibri" w:eastAsia="Calibri"/>
          <w:b/>
          <w:color w:val="203040"/>
          <w:sz w:val="20"/>
        </w:rPr>
        <w:t xml:space="preserve">Дата отчета: </w:t>
      </w:r>
      <w:r>
        <w:rPr>
          <w:rFonts w:ascii="Calibri" w:hAnsi="Calibri" w:eastAsia="Calibri"/>
          <w:color w:val="203040"/>
          <w:sz w:val="20"/>
        </w:rPr>
        <w:t>31 августа 2026 г.</w:t>
      </w:r>
    </w:p>
    <w:p>
      <w:pPr>
        <w:spacing w:after="200"/>
        <w:pBdr>
          <w:bottom w:val="single" w:sz="10" w:space="6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20"/>
              </w:rPr>
              <w:t xml:space="preserve">Ключевой вывод  </w:t>
            </w:r>
            <w:r>
              <w:rPr>
                <w:rFonts w:ascii="Calibri" w:hAnsi="Calibri" w:eastAsia="Calibri"/>
                <w:color w:val="203040"/>
                <w:sz w:val="20"/>
              </w:rPr>
              <w:t>GeoFUGW устойчиво совмещает форму нормализованных кривых и сохраняет порядок разреза, однако независимая маркерная проверка показывает среднюю абсолютную ошибку 14,00 ед. MD, RMSE 19,00 ед. MD и единичный максимум 59,19 ед. MD. Поэтому результат пригоден как автоматическая начальная корреляция с обязательным QC, но не как безусловная замена экспертных стратиграфических отметок.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Цель и границы анализа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03040"/>
        </w:rPr>
        <w:t>Цель отчета - описать математические принципы алгоритма GeoFUGW-Spline, связать их с реализованным программным конвейером и интерпретировать агрегированную статистику на предоставленном снимке экрана. Анализ относится к последовательной корреляции соседних скважин A-B, B-C и далее.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03040"/>
        </w:rPr>
        <w:t>Важно: на снимке интерфейс исторически озаглавлен «DTW-корреляция», но указан файл correlation_fugw.csv. В текущей реализации GeoFUGW не строит классический DTW-путь: оптимальный транспорт формирует мягкое соответствие событий, после чего оно превращается в непрерывную монотонную карту глубин. Формат CSV лишь совместим с minimal_dtw и его визуализатором.</w:t>
      </w:r>
    </w:p>
    <w:p>
      <w:r>
        <w:br w:type="page"/>
      </w:r>
    </w:p>
    <w:p>
      <w:pPr>
        <w:pStyle w:val="Heading1"/>
        <w:keepNext/>
      </w:pPr>
      <w:r>
        <w:t>2. Постановка задачи корреляции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03040"/>
        </w:rPr>
        <w:t>Для двух скважин заданы наборы кривых ГИС x(zA) и y(zB), измеренные по различным сеткам MD. Требуется найти отображение f: zA -&gt; zB, при котором сопоставленные фрагменты имеют близкий каротажный отклик, взаимное расположение характерных событий сохраняется, а сама карта глубин остается монотонной и геологически интерпретируемой.</w:t>
      </w:r>
    </w:p>
    <w:p>
      <w:pPr>
        <w:pStyle w:val="EquationBlock"/>
        <w:keepLines/>
        <w:jc w:val="center"/>
      </w:pPr>
      <w:r>
        <w:rPr>
          <w:rFonts w:ascii="Cambria Math" w:hAnsi="Cambria Math" w:eastAsia="Cambria Math"/>
          <w:color w:val="203040"/>
          <w:sz w:val="20"/>
        </w:rPr>
        <w:t>zB = f(zA),    f'(zA) &gt; 0,    smin &lt;= f'(zA) &lt;= smax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03040"/>
        </w:rPr>
        <w:t>Последнее ограничение запрещает инверсию порядка пластов и ограничивает локальное сжатие/растяжение. В отличие от жесткого сопоставления «точка-точка», оптимальный транспорт допускает распределенное соответствие: одно событие может частично поддерживаться несколькими кандидатами во второй скважине.</w:t>
      </w:r>
    </w:p>
    <w:p>
      <w:pPr>
        <w:pStyle w:val="Heading2"/>
        <w:keepNext/>
      </w:pPr>
      <w:r>
        <w:t>2.1. Подготовка и нормализация кривых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Дубликаты MD усредняются; сетки упорядочиваются и переводятся на единый шаг.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Интерполяция выполняется только внутри коротких непрерывных сегментов; длинные пропуски сохраняются.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Каждая кривая независимо нормализуется робастно по медиане и MAD, после чего значения ограничиваются диапазоном [-8; 8].</w:t>
      </w:r>
    </w:p>
    <w:p>
      <w:pPr>
        <w:pStyle w:val="EquationBlock"/>
        <w:keepLines/>
        <w:jc w:val="center"/>
      </w:pPr>
      <w:r>
        <w:rPr>
          <w:rFonts w:ascii="Cambria Math" w:hAnsi="Cambria Math" w:eastAsia="Cambria Math"/>
          <w:color w:val="203040"/>
          <w:sz w:val="20"/>
        </w:rPr>
        <w:t>zk = clip((xk - median(x)) / (1.4826 · median|x - median(x)|), -8, 8)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03040"/>
        </w:rPr>
        <w:t>Робастная шкала снижает влияние выбросов и позволяет совместно использовать кривые с разными физическими единицами. Цена этого преимущества - метрика |Δz| становится безразмерной и не равна ошибке глубины.</w:t>
      </w:r>
    </w:p>
    <w:p>
      <w:pPr>
        <w:pStyle w:val="Heading2"/>
        <w:keepNext/>
      </w:pPr>
      <w:r>
        <w:t>2.2. Многомасштабные события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03040"/>
        </w:rPr>
        <w:t>На нескольких физических масштабах рассчитываются сглаженная кривая, первая производная и вторая производная. Локальные максимумы совокупной градиентно-кривизной оценки проходят порог по процентилю и подавление близких максимумов. Для каждого события формируется вектор признаков, координата u в диапазоне [0; 1] и масса, пропорциональная выраженности события. Мягкие маркеры добавляются как события повышенной массы.</w:t>
      </w:r>
    </w:p>
    <w:p>
      <w:r>
        <w:br w:type="page"/>
      </w:r>
    </w:p>
    <w:p>
      <w:pPr>
        <w:pStyle w:val="Heading1"/>
        <w:keepNext/>
      </w:pPr>
      <w:r>
        <w:t>3. Теория GeoFUGW</w:t>
      </w:r>
    </w:p>
    <w:p>
      <w:pPr>
        <w:pStyle w:val="Heading2"/>
        <w:keepNext/>
      </w:pPr>
      <w:r>
        <w:t>3.1. От Wasserstein к Fused Gromov-Wasserstein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03040"/>
        </w:rPr>
        <w:t>Классический оптимальный транспорт сравнивает признаки элементов через матрицу стоимости, но почти не использует внутреннюю геометрию объектов. Gromov-Wasserstein, напротив, сравнивает попарные расстояния внутри объектов и может работать с разными метрическими пространствами [1]. Fused Gromov-Wasserstein объединяет оба источника информации: сходство признаков и сходство структуры [2].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03040"/>
        </w:rPr>
        <w:t>Скважина A представляется событиями (ui, fi, ai), скважина B - событиями (vj, gj, bj), где u и v - нормированные глубины, f и g - многоканальные признаки, a и b - массы. Матрица πij показывает, какая доля массы события i сопоставлена событию j.</w:t>
      </w:r>
    </w:p>
    <w:p>
      <w:pPr>
        <w:pStyle w:val="Heading2"/>
        <w:keepNext/>
      </w:pPr>
      <w:r>
        <w:t>3.2. Признаковая стоимость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03040"/>
        </w:rPr>
        <w:t>Разность каждого доступного признака масштабируется объединенной MAD-оценкой и проходит через функцию Хьюбера с порогом 1,5. Это дает квадратичный штраф для малых отклонений и линейный - для крупных, уменьшая влияние аномальных отсчетов и позволяя работать с частично отсутствующими каналами. Совпадающие маркеры получают пониженную стоимость, несовпадающие - дополнительный штраф.</w:t>
      </w:r>
    </w:p>
    <w:p>
      <w:pPr>
        <w:pStyle w:val="EquationBlock"/>
        <w:keepLines/>
        <w:jc w:val="center"/>
      </w:pPr>
      <w:r>
        <w:rPr>
          <w:rFonts w:ascii="Cambria Math" w:hAnsi="Cambria Math" w:eastAsia="Cambria Math"/>
          <w:color w:val="203040"/>
          <w:sz w:val="20"/>
        </w:rPr>
        <w:t>hδ(r) = 0.5r², |r| &lt;= δ;     hδ(r) = δ(|r| - 0.5δ), |r| &gt; δ</w:t>
      </w:r>
    </w:p>
    <w:p>
      <w:pPr>
        <w:pStyle w:val="Heading2"/>
        <w:keepNext/>
      </w:pPr>
      <w:r>
        <w:t>3.3. Целевая функция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03040"/>
        </w:rPr>
        <w:t>Практическая целевая функция реализации состоит из признакового члена, квадратичного структурного члена GW, штрафа за отклонение от текущей карты порядка, KL-релаксации маргиналов и энтропийной регуляризации:</w:t>
      </w:r>
    </w:p>
    <w:p>
      <w:pPr>
        <w:pStyle w:val="EquationBlock"/>
        <w:keepLines/>
        <w:jc w:val="center"/>
      </w:pPr>
      <w:r>
        <w:rPr>
          <w:rFonts w:ascii="Cambria Math" w:hAnsi="Cambria Math" w:eastAsia="Cambria Math"/>
          <w:color w:val="203040"/>
          <w:sz w:val="20"/>
        </w:rPr>
        <w:t>J(π) = (1-α)&lt;Cfeat,π&gt; + α Σ|dA(i,k)-dB(j,l)|²πijπkl + λord&lt;Ord,π&gt;</w:t>
      </w:r>
    </w:p>
    <w:p>
      <w:pPr>
        <w:pStyle w:val="EquationBlock"/>
        <w:keepLines/>
        <w:jc w:val="center"/>
      </w:pPr>
      <w:r>
        <w:rPr>
          <w:rFonts w:ascii="Cambria Math" w:hAnsi="Cambria Math" w:eastAsia="Cambria Math"/>
          <w:color w:val="203040"/>
          <w:sz w:val="20"/>
        </w:rPr>
        <w:t>+ ρ KL(π1 || a) + ρ KL(πᵀ1 || b) + ε Σπij(log πij - 1)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03040"/>
        </w:rPr>
        <w:t>Параметр α управляет балансом «отклик кривых / внутренняя геометрия». Энтропийный член сглаживает план и позволяет применять быстрые масштабные итерации Sinkhorn [3]. Unbalanced-вариант ослабляет требование точного совпадения масс через KL-штрафы: лишнее или отсутствующее событие не обязано насильно сопоставляться [4].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FFF5D9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7A5A00"/>
                <w:sz w:val="20"/>
              </w:rPr>
              <w:t xml:space="preserve">Методологическая оговорка  </w:t>
            </w:r>
            <w:r>
              <w:rPr>
                <w:rFonts w:ascii="Calibri" w:hAnsi="Calibri" w:eastAsia="Calibri"/>
                <w:color w:val="203040"/>
                <w:sz w:val="20"/>
              </w:rPr>
              <w:t>Скрипт реализует практическую событийную аппроксимацию энтропийного unbalanced FUGW с линеаризацией GW-члена, а не побитово идентичный solver из внешней библиотеки. Поэтому гиперпараметры и численные QC следует валидировать на конкретном фонде скважин.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4. Порядок, карта глубин и неопределенность</w:t>
      </w:r>
    </w:p>
    <w:p>
      <w:pPr>
        <w:pStyle w:val="Heading2"/>
        <w:keepNext/>
      </w:pPr>
      <w:r>
        <w:t>4.1. Регуляризация стратиграфического порядка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03040"/>
        </w:rPr>
        <w:t>Нормированные координаты сравниваются с текущей монотонной картой γ. Отклонение события vj от ожидаемой позиции γ(ui) штрафуется квадратично. После каждого внешнего шага γ обновляется по барицентрическому соответствию и проецируется на неубывающие значения алгоритмом weighted PAVA.</w:t>
      </w:r>
    </w:p>
    <w:p>
      <w:pPr>
        <w:pStyle w:val="EquationBlock"/>
        <w:keepLines/>
        <w:jc w:val="center"/>
      </w:pPr>
      <w:r>
        <w:rPr>
          <w:rFonts w:ascii="Cambria Math" w:hAnsi="Cambria Math" w:eastAsia="Cambria Math"/>
          <w:color w:val="203040"/>
          <w:sz w:val="20"/>
        </w:rPr>
        <w:t>Ordij = (vj - γ(ui))² / (2σord²)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03040"/>
        </w:rPr>
        <w:t>Такой штраф не превращает маркеры в безусловные жесткие точки: он оставляет возможность отклонения, если совокупность кривых и структурных отношений дает более сильное свидетельство.</w:t>
      </w:r>
    </w:p>
    <w:p>
      <w:pPr>
        <w:pStyle w:val="Heading2"/>
        <w:keepNext/>
      </w:pPr>
      <w:r>
        <w:t>4.2. Переход от транспортного плана к сплайну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03040"/>
        </w:rPr>
        <w:t>Для каждого события левой скважины вычисляется барицентр целевой глубины. Уверенность уменьшается при малой перенесенной массе и высокой энтропии условного распределения.</w:t>
      </w:r>
    </w:p>
    <w:p>
      <w:pPr>
        <w:pStyle w:val="EquationBlock"/>
        <w:keepLines/>
        <w:jc w:val="center"/>
      </w:pPr>
      <w:r>
        <w:rPr>
          <w:rFonts w:ascii="Cambria Math" w:hAnsi="Cambria Math" w:eastAsia="Cambria Math"/>
          <w:color w:val="203040"/>
          <w:sz w:val="20"/>
        </w:rPr>
        <w:t>ŷi = Σj πij zBj / Σj πij</w:t>
      </w:r>
    </w:p>
    <w:p>
      <w:pPr>
        <w:pStyle w:val="EquationBlock"/>
        <w:keepLines/>
        <w:jc w:val="center"/>
      </w:pPr>
      <w:r>
        <w:rPr>
          <w:rFonts w:ascii="Cambria Math" w:hAnsi="Cambria Math" w:eastAsia="Cambria Math"/>
          <w:color w:val="203040"/>
          <w:sz w:val="20"/>
        </w:rPr>
        <w:t>ci = min((Σjπij)/ai, 1) · (1 - Hi/log nB)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03040"/>
        </w:rPr>
        <w:t>Опорные точки сжимаются до ограниченного числа узлов и сглаживаются штрафом на вторые разности. Затем накладываются пределы локального растяжения, а производные строятся по монотонной кубической схеме Hermite/Fritsch-Carlson [5]. Итоговая карта непрерывна, строго возрастает и не создает искусственных петель.</w:t>
      </w:r>
    </w:p>
    <w:p>
      <w:pPr>
        <w:pStyle w:val="EquationBlock"/>
        <w:keepLines/>
        <w:jc w:val="center"/>
      </w:pPr>
      <w:r>
        <w:rPr>
          <w:rFonts w:ascii="Cambria Math" w:hAnsi="Cambria Math" w:eastAsia="Cambria Math"/>
          <w:color w:val="203040"/>
          <w:sz w:val="20"/>
        </w:rPr>
        <w:t>miny Σk wk(yk-ŷk)² + λs Σk(Δ²yk)²,   sminΔxk &lt;= Δyk &lt;= smaxΔxk</w:t>
      </w:r>
    </w:p>
    <w:p>
      <w:pPr>
        <w:pStyle w:val="Heading2"/>
        <w:keepNext/>
      </w:pPr>
      <w:r>
        <w:t>4.3. Bootstrap и последовательная корреляция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03040"/>
        </w:rPr>
        <w:t>При включенном bootstrap массы и признаки событий многократно возмущаются, после чего повторно оценивается карта. Квантили 5/50/95% образуют эмпирическую полосу устойчивости; она не является калиброванным байесовским доверительным интервалом. Для набора скважин алгоритм независимо обрабатывает пары A-B, B-C и т. д., сохраняя единый шаг MD и совместимый табличный формат.</w:t>
      </w:r>
    </w:p>
    <w:p>
      <w:pPr>
        <w:pStyle w:val="Heading2"/>
        <w:keepNext/>
      </w:pPr>
      <w:r>
        <w:t>4.4. Основные выходные показатели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7CED8"/>
          <w:left w:val="single" w:sz="5" w:space="0" w:color="C7CED8"/>
          <w:bottom w:val="single" w:sz="5" w:space="0" w:color="C7CED8"/>
          <w:right w:val="single" w:sz="5" w:space="0" w:color="C7CED8"/>
          <w:insideH w:val="single" w:sz="5" w:space="0" w:color="C7CED8"/>
          <w:insideV w:val="single" w:sz="5" w:space="0" w:color="C7CED8"/>
        </w:tblBorders>
      </w:tblPr>
      <w:tblGrid>
        <w:gridCol w:w="1800"/>
        <w:gridCol w:w="3160"/>
        <w:gridCol w:w="44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Группа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Поля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Смысл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Совместимость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pair, left/right_well, left/right_md, left/right_z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Путь соответствий для визуализатора minimal_dtw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Локальное качество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local_cost, mean_cost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|left_z-right_z| для первой указанной кривой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GeoFUGW QC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confidence, transport_entropy, local_stretch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Однозначность переноса и локальная деформация карты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Неопределенность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map_p05, map_p50, map_p95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Эмпирический разброс bootstrap-карт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Диагностика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crossing_mass, residual, status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Нарушения порядка, многоканальная невязка и флаг качества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5. Исходная статистика эксперимента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03040"/>
        </w:rPr>
        <w:t>На рисунке приведена глобальная сводка по 13 скважинам и 12 последовательным парам. Всего в совместимом пути 25 450 строк. Выбранная в интерфейсе пара 40017802 -&gt; 40017703 не меняет тот факт, что карточки раздела являются статистикой по всему набору.</w:t>
      </w:r>
    </w:p>
    <w:p>
      <w:pPr>
        <w:pStyle w:val="Caption"/>
        <w:keepNext/>
        <w:spacing w:before="80" w:after="120"/>
        <w:jc w:val="center"/>
      </w:pPr>
      <w:r>
        <w:rPr>
          <w:rFonts w:ascii="Calibri" w:hAnsi="Calibri" w:eastAsia="Calibri"/>
          <w:i/>
          <w:color w:val="5B6573"/>
          <w:sz w:val="18"/>
        </w:rPr>
        <w:t>Рисунок 1. Исходная сводка correlation_fugw.csv, предоставленная пользователем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2911875"/>
            <wp:docPr id="1" name="Picture 1" descr="Снимок экрана со сводной статистикой корреляции 13 скважи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82ca946-491d-4b59-b6d7-c91a066a659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1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5.1. Несовпадение нормализованных кривых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7CED8"/>
          <w:left w:val="single" w:sz="5" w:space="0" w:color="C7CED8"/>
          <w:bottom w:val="single" w:sz="5" w:space="0" w:color="C7CED8"/>
          <w:right w:val="single" w:sz="5" w:space="0" w:color="C7CED8"/>
          <w:insideH w:val="single" w:sz="5" w:space="0" w:color="C7CED8"/>
          <w:insideV w:val="single" w:sz="5" w:space="0" w:color="C7CED8"/>
        </w:tblBorders>
      </w:tblPr>
      <w:tblGrid>
        <w:gridCol w:w="2500"/>
        <w:gridCol w:w="1800"/>
        <w:gridCol w:w="50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Метрика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Значение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Интерпретация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8"/>
              </w:rPr>
              <w:t>Среднее по парам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03040"/>
                <w:sz w:val="18"/>
              </w:rPr>
              <w:t>1,161 |Δz|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8"/>
              </w:rPr>
              <w:t>Каждая из 12 пар имеет одинаковый вес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8"/>
              </w:rPr>
              <w:t>Среднее по точкам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03040"/>
                <w:sz w:val="18"/>
              </w:rPr>
              <w:t>1,152 |Δz|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8"/>
              </w:rPr>
              <w:t>Каждая из 25 450 точек имеет одинаковый вес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8"/>
              </w:rPr>
              <w:t>Медиана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03040"/>
                <w:sz w:val="18"/>
              </w:rPr>
              <w:t>0,897 |Δz|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8"/>
              </w:rPr>
              <w:t>Половина точек имеет меньшую невязку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8"/>
              </w:rPr>
              <w:t>P95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03040"/>
                <w:sz w:val="18"/>
              </w:rPr>
              <w:t>3,046 |Δz|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8"/>
              </w:rPr>
              <w:t>95% точек не превышают этот уровень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8"/>
              </w:rPr>
              <w:t>RMSE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03040"/>
                <w:sz w:val="18"/>
              </w:rPr>
              <w:t>1,488 |Δz|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8"/>
              </w:rPr>
              <w:t>Сильнее реагирует на крупные расхождения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8"/>
              </w:rPr>
              <w:t>Максимум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03040"/>
                <w:sz w:val="18"/>
              </w:rPr>
              <w:t>5,660 |Δz|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8"/>
              </w:rPr>
              <w:t>Наихудшая локальная точка в наборе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6. Интерпретация качества корреляции</w:t>
      </w:r>
    </w:p>
    <w:p>
      <w:pPr>
        <w:pStyle w:val="Heading2"/>
        <w:keepNext/>
      </w:pPr>
      <w:r>
        <w:t>6.1. Что показывают кривые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Макро- и микросреднее почти совпадают: разница 0,009 |Δz|, или около 0,8%. Следовательно, длинные пути не изменяют глобальную оценку существенно, а качество пар в среднем сопоставимо по масштабу.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Медиана 0,897 ниже среднего 1,152 на 0,255. Распределение правосторонне асимметрично: большинство точек лучше среднего, но имеется хвост повышенных расхождений.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RMSE 1,488 выше MAE-подобного среднего 1,152 примерно на 29%. Это подтверждает заметное влияние крупных локальных ошибок.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P95 3,046 и максимум 5,660 показывают, что небольшая доля интервалов совмещена существенно хуже основной массы. Такие зоны должны попадать в ручной QC по парам и глубинам.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FFF5D9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7A5A00"/>
                <w:sz w:val="20"/>
              </w:rPr>
              <w:t xml:space="preserve">Правильная трактовка |Δz|  </w:t>
            </w:r>
            <w:r>
              <w:rPr>
                <w:rFonts w:ascii="Calibri" w:hAnsi="Calibri" w:eastAsia="Calibri"/>
                <w:color w:val="203040"/>
                <w:sz w:val="20"/>
              </w:rPr>
              <w:t>Это безразмерное расхождение робастно нормализованных кривых, а не ошибка MD. Значение 1,152 нельзя переводить в метры без отдельной физической модели и исходных масштабов кривой.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6.2. Независимая маркерная проверка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7CED8"/>
          <w:left w:val="single" w:sz="5" w:space="0" w:color="C7CED8"/>
          <w:bottom w:val="single" w:sz="5" w:space="0" w:color="C7CED8"/>
          <w:right w:val="single" w:sz="5" w:space="0" w:color="C7CED8"/>
          <w:insideH w:val="single" w:sz="5" w:space="0" w:color="C7CED8"/>
          <w:insideV w:val="single" w:sz="5" w:space="0" w:color="C7CED8"/>
        </w:tblBorders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Метрика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Значение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Вывод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Проверок пара-маркер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44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В среднем 3,67 проверки на пару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Покрытие общих маркеров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91,7%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44 из 48 потенциальных сопоставлений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MAE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14,00 ед. MD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Средняя абсолютная ошибка глубины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RMSE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19,00 ед. MD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Крупные ошибки заметно повышают итог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Медиана |ΔMD|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10,84 ед. MD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Половина проверок точнее 10,84 ед. MD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P90 |ΔMD|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24,94 ед. MD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90% ошибок не превышают 24,94 ед. MD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Смещение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-4,71 ед. MD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Есть направленная составляющая; знак зависит от определения остатка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Максимум |ΔMD|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59,19 ед. MD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Редкий, но критичный выброс</w:t>
            </w:r>
          </w:p>
        </w:tc>
      </w:tr>
    </w:tbl>
    <w:p>
      <w:pPr>
        <w:spacing w:after="40"/>
      </w:pP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03040"/>
        </w:rPr>
        <w:t>Равновзвешенная по 12 парам MAE, указанная в подписи снимка, составляет 14,68 ед. MD. Она близка к микросредней 14,00 ед. MD, поэтому пары с большим числом маркеров не доминируют в результате. Четыре общих маркера находятся вне интервала карты; инверсий порядка не обнаружено. В файле markers.xlsx также имеется 66 несопоставленных строк, что является отдельным риском качества идентификаторов/данных.</w:t>
      </w:r>
    </w:p>
    <w:p>
      <w:pPr>
        <w:pStyle w:val="Heading2"/>
        <w:keepNext/>
      </w:pPr>
      <w:r>
        <w:t>6.3. Совместный вывод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03040"/>
        </w:rPr>
        <w:t>Две группы метрик отвечают на разные вопросы. Невязка |Δz| показывает, насколько хорошо совместилась форма основной нормализованной кривой вдоль рассчитанной карты. Маркерная невязка показывает, насколько эта карта переносит независимые геологические отметки по MD. Хорошее совпадение формы не гарантирует точного положения горизонта: похожие мотивы ГИС могут повторяться, а плавный сплайн может распределить локальную ошибку по интервалу.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3C7A57"/>
          <w:left w:val="single" w:sz="8" w:space="0" w:color="3C7A57"/>
          <w:bottom w:val="single" w:sz="8" w:space="0" w:color="3C7A57"/>
          <w:right w:val="single" w:sz="8" w:space="0" w:color="3C7A57"/>
          <w:insideH w:val="single" w:sz="8" w:space="0" w:color="3C7A57"/>
          <w:insideV w:val="single" w:sz="8" w:space="0" w:color="3C7A5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EAF4E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3C7A57"/>
                <w:sz w:val="20"/>
              </w:rPr>
              <w:t xml:space="preserve">Оценка результата  </w:t>
            </w:r>
            <w:r>
              <w:rPr>
                <w:rFonts w:ascii="Calibri" w:hAnsi="Calibri" w:eastAsia="Calibri"/>
                <w:color w:val="203040"/>
                <w:sz w:val="20"/>
              </w:rPr>
              <w:t>Структурная состоятельность - хорошая (0 инверсий); покрытие маркеров - высокое (91,7%); типичная глубинная точность - умеренная (медиана 10,84, MAE 14,00 ед. MD); хвостовой риск - существенный (максимум 59,19 ед. MD).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7. Выводы и рекомендации</w:t>
      </w:r>
    </w:p>
    <w:p>
      <w:pPr>
        <w:pStyle w:val="Heading2"/>
        <w:keepNext/>
      </w:pPr>
      <w:r>
        <w:t>7.1. Выводы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GeoFUGW-Spline решает задачу не как локальный DTW, а как сопоставление разреженных многомасштабных событий с учетом признаков и внутренней геометрии разреза.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Unbalanced transport полезен для реальных ГИС, где события могут отсутствовать, раздваиваться или иметь разную выраженность.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Монотонная проекция и cubic-Hermite spline обеспечили топологически корректный результат: на проверенном наборе нет инверсий порядка маркеров.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По форме кривых основная масса точек согласована лучше среднего, однако имеется выраженный хвост локальных расхождений.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По маркерам алгоритм дает пригодную стартовую карту, но текущая точность не позволяет принимать все соответствия автоматически: MAE 14,00 и максимум 59,19 ед. MD требуют зонального QC.</w:t>
      </w:r>
    </w:p>
    <w:p>
      <w:pPr>
        <w:pStyle w:val="Heading2"/>
        <w:keepNext/>
      </w:pPr>
      <w:r>
        <w:t>7.2. Приоритетные действия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7CED8"/>
          <w:left w:val="single" w:sz="5" w:space="0" w:color="C7CED8"/>
          <w:bottom w:val="single" w:sz="5" w:space="0" w:color="C7CED8"/>
          <w:right w:val="single" w:sz="5" w:space="0" w:color="C7CED8"/>
          <w:insideH w:val="single" w:sz="5" w:space="0" w:color="C7CED8"/>
          <w:insideV w:val="single" w:sz="5" w:space="0" w:color="C7CED8"/>
        </w:tblBorders>
      </w:tblPr>
      <w:tblGrid>
        <w:gridCol w:w="600"/>
        <w:gridCol w:w="2350"/>
        <w:gridCol w:w="6410"/>
      </w:tblGrid>
      <w:tr>
        <w:trPr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№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Действие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Практический смысл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Разобрать выбросы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Сформировать рейтинг пар и интервалов по |ΔMD|, P90/P95 |Δz|, confidence, entropy и local_stretch; в первую очередь проверить случай 59,19 ед. MD.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2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Разделить настройку и контроль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Если маркеры используются как мягкие anchors, оценивать точность на отложенных маркерах. Иначе маркерная статистика не является независимой.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3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Проверить систематику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Зафиксировать определение знака ΔMD и проверить смещение -4,71 по отдельным парам, направлению корреляции и глубинным интервалам.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4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Устранить потери данных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Разобрать 66 несопоставленных строк markers.xlsx и четыре отметки вне интервала; повторно вычислить покрытие после очистки идентификаторов.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5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Настроить модель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Подбирать α, λord, σord, mass_penalty, epsilon, smoothness и пределы stretch на обучающей части, контролируя маркерный hold-out и отсутствие инверсий.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6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Не скрывать неопределенность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3040"/>
                <w:sz w:val="17"/>
              </w:rPr>
              <w:t>Включить bootstrap и публиковать p05/p50/p95 карты вместе с confidence и transport_entropy, а не только одну линию корреляции.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7.3. Критерий готовности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03040"/>
        </w:rPr>
        <w:t>Универсальный порог приемки по приведенной картинке задать нельзя: допустимая ошибка MD зависит от мощности целевых пластов, вертикального разрешения ГИС и назначения корреляции. Минимальный производственный gate должен включать: отсутствие инверсий, достаточное покрытие маркеров, пределы median/P90 |ΔMD|, ограничение максимального stretch и обязательный ручной просмотр точек низкой уверенности.</w:t>
      </w:r>
    </w:p>
    <w:p>
      <w:r>
        <w:br w:type="page"/>
      </w:r>
    </w:p>
    <w:p>
      <w:pPr>
        <w:pStyle w:val="Heading1"/>
        <w:keepNext/>
      </w:pPr>
      <w:r>
        <w:t>8. Ограничения интерпретации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Снимок содержит агрегаты, но не распределение по отдельным парам и интервалам; нельзя определить, сосредоточена ли ошибка в одной скважине.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Не указано, какая кривая была первой в --curves. В совместимом CSV именно она образует left_z/right_z и local_cost, хотя транспорт мог использовать несколько каналов.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MD не равно TVD, TVDSS или истинной стратиграфической мощности. Маркерная ошибка в ед. MD не характеризует напрямую вертикальную ошибку пласта.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Покрытие 91,7% относится к общим маркерам внутри сопоставляемых интервалов, а не ко всем строкам markers.xlsx.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Если те же маркеры участвовали в построении карты как anchors, статистику следует считать внутренней, а не независимой валидацией.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Энтропийная регуляризация и сглаживание дают устойчивость, но способны размывать неоднозначность; одну гладкую карту нельзя трактовать как доказательство единственного геологического решения.</w:t>
      </w:r>
    </w:p>
    <w:p>
      <w:pPr>
        <w:pStyle w:val="Heading1"/>
        <w:keepNext/>
      </w:pPr>
      <w:r>
        <w:t>9. Литература и источники</w:t>
      </w:r>
    </w:p>
    <w:p>
      <w:pPr>
        <w:pStyle w:val="Reference"/>
        <w:spacing w:after="100"/>
        <w:ind w:left="432" w:hanging="432"/>
      </w:pPr>
      <w:r>
        <w:rPr>
          <w:rFonts w:ascii="Calibri" w:hAnsi="Calibri" w:eastAsia="Calibri"/>
          <w:b/>
          <w:color w:val="1F4D78"/>
          <w:sz w:val="18"/>
        </w:rPr>
        <w:t xml:space="preserve">[1] </w:t>
      </w:r>
      <w:r>
        <w:rPr>
          <w:rFonts w:ascii="Calibri" w:hAnsi="Calibri" w:eastAsia="Calibri"/>
          <w:color w:val="203040"/>
          <w:sz w:val="18"/>
        </w:rPr>
        <w:t>Mémoli F. Gromov-Wasserstein Distances and the Metric Approach to Object Matching. Foundations of Computational Mathematics, 2011, 11:417-487. DOI: 10.1007/s10208-011-9093-5.</w:t>
      </w:r>
    </w:p>
    <w:p>
      <w:pPr>
        <w:pStyle w:val="Reference"/>
        <w:spacing w:after="100"/>
        <w:ind w:left="432" w:hanging="432"/>
      </w:pPr>
      <w:r>
        <w:rPr>
          <w:rFonts w:ascii="Calibri" w:hAnsi="Calibri" w:eastAsia="Calibri"/>
          <w:b/>
          <w:color w:val="1F4D78"/>
          <w:sz w:val="18"/>
        </w:rPr>
        <w:t xml:space="preserve">[2] </w:t>
      </w:r>
      <w:r>
        <w:rPr>
          <w:rFonts w:ascii="Calibri" w:hAnsi="Calibri" w:eastAsia="Calibri"/>
          <w:color w:val="203040"/>
          <w:sz w:val="18"/>
        </w:rPr>
        <w:t>Vayer T., Chapel L., Flamary R., Tavenard R., Courty N. Fused Gromov-Wasserstein Distance for Structured Objects. Algorithms, 2020, 13(9):212. DOI: 10.3390/a13090212.</w:t>
      </w:r>
    </w:p>
    <w:p>
      <w:pPr>
        <w:pStyle w:val="Reference"/>
        <w:spacing w:after="100"/>
        <w:ind w:left="432" w:hanging="432"/>
      </w:pPr>
      <w:r>
        <w:rPr>
          <w:rFonts w:ascii="Calibri" w:hAnsi="Calibri" w:eastAsia="Calibri"/>
          <w:b/>
          <w:color w:val="1F4D78"/>
          <w:sz w:val="18"/>
        </w:rPr>
        <w:t xml:space="preserve">[3] </w:t>
      </w:r>
      <w:r>
        <w:rPr>
          <w:rFonts w:ascii="Calibri" w:hAnsi="Calibri" w:eastAsia="Calibri"/>
          <w:color w:val="203040"/>
          <w:sz w:val="18"/>
        </w:rPr>
        <w:t>Cuturi M. Sinkhorn Distances: Lightspeed Computation of Optimal Transport. Advances in Neural Information Processing Systems 26, 2013, pp. 2292-2300. arXiv:1306.0895.</w:t>
      </w:r>
    </w:p>
    <w:p>
      <w:pPr>
        <w:pStyle w:val="Reference"/>
        <w:spacing w:after="100"/>
        <w:ind w:left="432" w:hanging="432"/>
      </w:pPr>
      <w:r>
        <w:rPr>
          <w:rFonts w:ascii="Calibri" w:hAnsi="Calibri" w:eastAsia="Calibri"/>
          <w:b/>
          <w:color w:val="1F4D78"/>
          <w:sz w:val="18"/>
        </w:rPr>
        <w:t xml:space="preserve">[4] </w:t>
      </w:r>
      <w:r>
        <w:rPr>
          <w:rFonts w:ascii="Calibri" w:hAnsi="Calibri" w:eastAsia="Calibri"/>
          <w:color w:val="203040"/>
          <w:sz w:val="18"/>
        </w:rPr>
        <w:t>Chizat L., Peyré G., Schmitzer B., Vialard F.-X. Scaling Algorithms for Unbalanced Optimal Transport Problems. Mathematics of Computation, 2018, 87(314):2563-2609. DOI: 10.1090/mcom/3303.</w:t>
      </w:r>
    </w:p>
    <w:p>
      <w:pPr>
        <w:pStyle w:val="Reference"/>
        <w:spacing w:after="100"/>
        <w:ind w:left="432" w:hanging="432"/>
      </w:pPr>
      <w:r>
        <w:rPr>
          <w:rFonts w:ascii="Calibri" w:hAnsi="Calibri" w:eastAsia="Calibri"/>
          <w:b/>
          <w:color w:val="1F4D78"/>
          <w:sz w:val="18"/>
        </w:rPr>
        <w:t xml:space="preserve">[5] </w:t>
      </w:r>
      <w:r>
        <w:rPr>
          <w:rFonts w:ascii="Calibri" w:hAnsi="Calibri" w:eastAsia="Calibri"/>
          <w:color w:val="203040"/>
          <w:sz w:val="18"/>
        </w:rPr>
        <w:t>Fritsch F. N., Carlson R. E. Monotone Piecewise Cubic Interpolation. SIAM Journal on Numerical Analysis, 1980, 17(2):238-246. DOI: 10.1137/0717021.</w:t>
      </w:r>
    </w:p>
    <w:p>
      <w:pPr>
        <w:pStyle w:val="Reference"/>
        <w:spacing w:after="100"/>
        <w:ind w:left="432" w:hanging="432"/>
      </w:pPr>
      <w:r>
        <w:rPr>
          <w:rFonts w:ascii="Calibri" w:hAnsi="Calibri" w:eastAsia="Calibri"/>
          <w:b/>
          <w:color w:val="1F4D78"/>
          <w:sz w:val="18"/>
        </w:rPr>
        <w:t xml:space="preserve">[6] </w:t>
      </w:r>
      <w:r>
        <w:rPr>
          <w:rFonts w:ascii="Calibri" w:hAnsi="Calibri" w:eastAsia="Calibri"/>
          <w:color w:val="203040"/>
          <w:sz w:val="18"/>
        </w:rPr>
        <w:t>GeoFUGW-Spline.py. Локальная реализация алгоритма, состояние на 31.08.2026.</w:t>
      </w:r>
    </w:p>
    <w:p>
      <w:pPr>
        <w:pStyle w:val="Reference"/>
        <w:spacing w:after="100"/>
        <w:ind w:left="432" w:hanging="432"/>
      </w:pPr>
      <w:r>
        <w:rPr>
          <w:rFonts w:ascii="Calibri" w:hAnsi="Calibri" w:eastAsia="Calibri"/>
          <w:b/>
          <w:color w:val="1F4D78"/>
          <w:sz w:val="18"/>
        </w:rPr>
        <w:t xml:space="preserve">[7] </w:t>
      </w:r>
      <w:r>
        <w:rPr>
          <w:rFonts w:ascii="Calibri" w:hAnsi="Calibri" w:eastAsia="Calibri"/>
          <w:color w:val="203040"/>
          <w:sz w:val="18"/>
        </w:rPr>
        <w:t>Снимок экрана сводного отчета correlation_fugw.csv, предоставленный пользователем; источник маркеров в интерфейсе: markers.xlsx.</w:t>
      </w:r>
    </w:p>
    <w:p>
      <w:pPr>
        <w:pStyle w:val="Heading1"/>
        <w:keepNext/>
      </w:pPr>
      <w:r>
        <w:t>Приложение А. Схема вычислительного конвейера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Чтение CSV/TSV, очистка MD, обработка стандартных значений пропуска.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Регуляризация сетки, сегментная интерполяция и робастная нормализация кривых.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Выделение многомасштабных событий и назначение масс; добавление мягких маркеров.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Построение робастной признаковой стоимости, структурных расстояний и order prior.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Внешние FUGW-итерации и внутренний unbalanced Sinkhorn до сходимости.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Барицентрическая карта, PAVA, сглаживание и монотонный cubic-Hermite spline.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Проекция кривых, расчет residual/confidence/entropy/stretch и bootstrap-квантилей.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Calibri"/>
          <w:color w:val="203040"/>
        </w:rPr>
        <w:t>Объединение последовательных пар в correlation.csv и независимый маркерный QC.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B6573"/>
        <w:sz w:val="18"/>
      </w:rPr>
      <w:t xml:space="preserve">Страница </w:t>
    </w:r>
    <w:r>
      <w:rPr>
        <w:rFonts w:ascii="Calibri" w:hAnsi="Calibri" w:eastAsia="Calibri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B6573"/>
        <w:sz w:val="18"/>
      </w:rPr>
      <w:t xml:space="preserve"> из </w:t>
    </w:r>
    <w:r>
      <w:rPr>
        <w:rFonts w:ascii="Calibri" w:hAnsi="Calibri" w:eastAsia="Calibri"/>
        <w:color w:val="5B6573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Calibri"/>
        <w:b/>
        <w:color w:val="5B6573"/>
        <w:sz w:val="18"/>
      </w:rPr>
      <w:t>GeoFUGW-Spline | технический отчет</w:t>
    </w:r>
    <w:r>
      <w:rPr>
        <w:rFonts w:ascii="Calibri" w:hAnsi="Calibri" w:eastAsia="Calibri"/>
        <w:color w:val="5B6573"/>
        <w:sz w:val="18"/>
      </w:rPr>
      <w:tab/>
      <w:t>31.08.2026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Calibri"/>
      <w:color w:val="203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Block">
    <w:name w:val="Equation Block"/>
    <w:pPr>
      <w:spacing w:before="80" w:after="160" w:line="240" w:lineRule="auto"/>
    </w:pPr>
    <w:rPr>
      <w:rFonts w:ascii="Cambria Math" w:hAnsi="Cambria Math"/>
      <w:sz w:val="20"/>
    </w:rPr>
  </w:style>
  <w:style w:type="paragraph" w:customStyle="1" w:styleId="Reference">
    <w:name w:val="Reference"/>
    <w:pPr>
      <w:spacing w:line="252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Работа алгоритма GeoFUGW-Spline</dc:title>
  <dc:subject>Теория и статистическая оценка корреляции скважин</dc:subject>
  <dc:creator/>
  <cp:keywords>GeoFUGW, скважины, ГИС, оптимальный транспорт, корреляция</cp:keywords>
  <dc:description>Сформировано на основе локальной реализации и предоставленной статистики.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