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 w:before="0"/>
        <w:jc w:val="center"/>
      </w:pPr>
      <w:r>
        <w:rPr>
          <w:rFonts w:ascii="Calibri" w:hAnsi="Calibri" w:eastAsia="微软雅黑"/>
          <w:b/>
          <w:sz w:val="52"/>
        </w:rPr>
        <w:t>MyAI 智能管理平台 + ERP 多业务平台</w:t>
      </w:r>
    </w:p>
    <w:p>
      <w:pPr>
        <w:spacing w:after="320" w:before="0"/>
        <w:jc w:val="center"/>
      </w:pPr>
      <w:r>
        <w:rPr>
          <w:rFonts w:ascii="Calibri" w:hAnsi="Calibri" w:eastAsia="微软雅黑"/>
          <w:b/>
          <w:sz w:val="40"/>
        </w:rPr>
        <w:t>项 目 汇 报</w:t>
      </w:r>
    </w:p>
    <w:p>
      <w:pPr>
        <w:spacing w:after="0" w:before="0"/>
        <w:jc w:val="center"/>
      </w:pPr>
      <w:r>
        <w:rPr>
          <w:rFonts w:ascii="Calibri" w:hAnsi="Calibri" w:eastAsia="微软雅黑"/>
          <w:b w:val="0"/>
          <w:sz w:val="28"/>
        </w:rPr>
        <w:t>—— 电单车监管解决方案 ——</w:t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2"/>
        </w:rPr>
        <w:t>MyAI 智能管理平台基于 Rust 构建 21 个 gRPC 微服务，采用 Vue3/Quasar 打造管理端、运维端、社交端三端应用，通过 K8s/Rancher 部署，提供高性能、可伸缩的企业级底座。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2"/>
        </w:rPr>
        <w:t>ERP 多业务平台面向多语言、多业务线场景，覆盖电单车监管、拖车服务、殡葬服务等多条业务线，支持按行业定制与扩展。</w:t>
      </w:r>
    </w:p>
    <w:p>
      <w:pPr>
        <w:spacing w:after="120" w:before="0"/>
      </w:pPr>
      <w:r>
        <w:rPr>
          <w:rFonts w:ascii="Calibri" w:hAnsi="Calibri" w:eastAsia="微软雅黑"/>
          <w:b/>
          <w:sz w:val="22"/>
        </w:rPr>
        <w:t>一句话定位：以微服务底座 + 多业务平台，为城市出行与公共服务提供一站式数字化监管与运营能力。</w:t>
      </w:r>
    </w:p>
    <w:p>
      <w:pPr>
        <w:pStyle w:val="Heading1"/>
      </w:pPr>
      <w:r>
        <w:t>二、功能介绍与业务场景</w:t>
      </w:r>
    </w:p>
    <w:p>
      <w:pPr>
        <w:pStyle w:val="Heading2"/>
      </w:pPr>
      <w:r>
        <w:t>2.1 MyAI 服务分类与业务场景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分类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服务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业务场景一句话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21"/>
              </w:rPr>
              <w:t>核心服务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21"/>
              </w:rPr>
              <w:t>身份 / 用户 / 租户 / 文件 / CMS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21"/>
              </w:rPr>
              <w:t>统一账号体系与租户隔离，多平台共用一套用户与内容管理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21"/>
              </w:rPr>
              <w:t>业务服务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21"/>
              </w:rPr>
              <w:t>电单车 / 拖车 / 支付 / 工作流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21"/>
              </w:rPr>
              <w:t>覆盖核心业务办理与运营流程，业务可插拔扩展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21"/>
              </w:rPr>
              <w:t>智能服务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21"/>
              </w:rPr>
              <w:t>海康视频 / 车牌识别 / 短信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21"/>
              </w:rPr>
              <w:t>视频接入、车牌识别、消息触达，提升监管自动化水平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微软雅黑"/>
                <w:sz w:val="21"/>
              </w:rPr>
              <w:t>运营服务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微软雅黑"/>
                <w:sz w:val="21"/>
              </w:rPr>
              <w:t>审计 / 反馈 / 社交运营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微软雅黑"/>
                <w:sz w:val="21"/>
              </w:rPr>
              <w:t>审计留痕、用户反馈闭环与社区化运营</w:t>
            </w:r>
          </w:p>
        </w:tc>
      </w:tr>
    </w:tbl>
    <w:p/>
    <w:p>
      <w:pPr>
        <w:pStyle w:val="Heading2"/>
      </w:pPr>
      <w:r>
        <w:t>2.2 ERP 多业务线列表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业务线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定位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21"/>
              </w:rPr>
              <w:t>电单车监管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21"/>
              </w:rPr>
              <w:t>车辆档案、实时定位、超速报警、电子围栏、电池库存、运营报表（本期重点）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21"/>
              </w:rPr>
              <w:t>拖车服务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21"/>
              </w:rPr>
              <w:t>拖车调度与订单全流程管理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微软雅黑"/>
                <w:sz w:val="21"/>
              </w:rPr>
              <w:t>殡葬服务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微软雅黑"/>
                <w:sz w:val="21"/>
              </w:rPr>
              <w:t>殡葬业务登记与流程管理</w:t>
            </w:r>
          </w:p>
        </w:tc>
      </w:tr>
    </w:tbl>
    <w:p>
      <w:r>
        <w:br w:type="page"/>
      </w:r>
    </w:p>
    <w:p>
      <w:pPr>
        <w:pStyle w:val="Heading2"/>
      </w:pPr>
      <w:r>
        <w:t>2.3 平台功能展示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dashboar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图：平台总览（多租户 · 微服务状态）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user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图：用户管理（多租户 RBAC）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tenant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图：租户管理（多租户隔离）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files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图：文件管理（云存储）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cm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图：内容管理（CMS 栏目 · 文章）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audit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图：操作审计（合规追溯）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message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图：消息中心（告警推送）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workflow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图：工作流（流程审批）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ai-lp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图：车牌识别（LPR 通行记录）</w:t>
      </w:r>
    </w:p>
    <w:p>
      <w:r>
        <w:br w:type="page"/>
      </w:r>
    </w:p>
    <w:p>
      <w:pPr>
        <w:pStyle w:val="Heading1"/>
      </w:pPr>
      <w:r>
        <w:t>三、电单车监管</w:t>
      </w:r>
    </w:p>
    <w:p>
      <w:pPr>
        <w:pStyle w:val="Heading2"/>
      </w:pPr>
      <w:r>
        <w:t>3.1 监管痛点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2"/>
        </w:rPr>
        <w:t>传统电单车管理依赖人工台账，存在车辆底数不清、失窃追查难、超速无预警、合规监管缺数据支撑等痛点。信息分散、响应滞后，监管成本高而效率低。</w:t>
      </w:r>
    </w:p>
    <w:p>
      <w:pPr>
        <w:pStyle w:val="Heading2"/>
      </w:pPr>
      <w:r>
        <w:t>3.2 核心功能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（车辆档案）统一建立车辆电子档案，车牌、车架、电池、运营商等信息一车一档，底数清晰可查。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ike-monit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图：电单车车辆管理（实时列表 · 搜索 · 地图）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（实时定位地图）接入 GPS 定位与地图组件，实时展示车辆分布与运行状态，一目了然。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ike-car-list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图：电单车车辆列表（状态/速度/警告）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（速度监测报警）超速实时监测并触发告警，车辆详情联动告警信息，异常分钟级响应。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96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bike-reports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hAnsi="Calibri" w:eastAsia="微软雅黑"/>
          <w:b w:val="0"/>
          <w:color w:val="5A5A5A"/>
          <w:sz w:val="19"/>
        </w:rPr>
        <w:t>图：电单车数据报表（运营统计）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（电池库存）电池资产入库、领用、更换全程记录，库存与状态实时掌握。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（订单运营）电单车业务订单全流程管理，支撑日常运营与结算。</w:t>
      </w:r>
    </w:p>
    <w:p>
      <w:pPr>
        <w:spacing w:after="80" w:before="0"/>
      </w:pPr>
      <w:r>
        <w:rPr>
          <w:rFonts w:ascii="Calibri" w:hAnsi="Calibri" w:eastAsia="微软雅黑"/>
          <w:b w:val="0"/>
          <w:sz w:val="22"/>
        </w:rPr>
        <w:t>（多运营商接入）哈啰/青桔/美团等多运营商车辆统一接入监管，覆盖全量在网车辆。</w:t>
      </w:r>
    </w:p>
    <w:p>
      <w:pPr>
        <w:pStyle w:val="Heading2"/>
      </w:pPr>
      <w:r>
        <w:t>3.3 技术亮点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gRPC 微服务架构：21 个微服务独立部署、弹性伸缩，支撑高并发监管业务。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高德地图 GPS：定位与轨迹能力，监管可视化呈现。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电子围栏：划定限行区域，越界实时告警。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多运营商接入：兼容多厂商设备与数据接入。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一车一码：车辆唯一标识，扫码即查，全生命周期可追溯。</w:t>
      </w:r>
    </w:p>
    <w:p>
      <w:r>
        <w:br w:type="page"/>
      </w:r>
    </w:p>
    <w:p>
      <w:pPr>
        <w:pStyle w:val="Heading1"/>
      </w:pPr>
      <w:r>
        <w:t>四、预期未来收益</w:t>
      </w:r>
    </w:p>
    <w:p>
      <w:pPr>
        <w:pStyle w:val="Heading2"/>
      </w:pPr>
      <w:r>
        <w:t>4.1 定性收益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监管数字化：台账电子化、数据自动归集，管理底数清晰。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安全提升：超速预警与电子围栏减少事故与违规风险。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合规可追溯：车辆全生命周期留痕，满足监管审计要求。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决策支持：多维报表为运营与监管决策提供数据依据。</w:t>
      </w:r>
    </w:p>
    <w:p>
      <w:pPr>
        <w:pStyle w:val="Heading2"/>
      </w:pPr>
      <w:r>
        <w:t>4.2 量化预期（保守区间）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指标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b/>
                <w:sz w:val="21"/>
              </w:rPr>
              <w:t>预期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21"/>
              </w:rPr>
              <w:t>监管人力成本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21"/>
              </w:rPr>
              <w:t>下降 30% ~ 50%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21"/>
              </w:rPr>
              <w:t>异常响应时间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21"/>
              </w:rPr>
              <w:t>由小时级降至分钟级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21"/>
              </w:rPr>
              <w:t>车辆失窃率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21"/>
              </w:rPr>
              <w:t>显著下降（实时定位 + 电子围栏）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微软雅黑"/>
                <w:sz w:val="21"/>
              </w:rPr>
              <w:t>运营效率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微软雅黑"/>
                <w:sz w:val="21"/>
              </w:rPr>
              <w:t>提升（一车一码 + 自动报表）</w:t>
            </w:r>
          </w:p>
        </w:tc>
      </w:tr>
    </w:tbl>
    <w:p>
      <w:pPr>
        <w:spacing w:after="120" w:before="0"/>
      </w:pPr>
      <w:r>
        <w:rPr>
          <w:rFonts w:ascii="Calibri" w:hAnsi="Calibri" w:eastAsia="微软雅黑"/>
          <w:b w:val="0"/>
          <w:color w:val="5A5A5A"/>
          <w:sz w:val="19"/>
        </w:rPr>
        <w:t>注：以上为预期区间，具体收益需结合实际部署规模与运营情况进行评估。</w:t>
      </w:r>
    </w:p>
    <w:p>
      <w:r>
        <w:br w:type="page"/>
      </w:r>
    </w:p>
    <w:p>
      <w:pPr>
        <w:pStyle w:val="Heading1"/>
      </w:pPr>
      <w:r>
        <w:t>五、总结与展望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2"/>
        </w:rPr>
        <w:t>一期已基于 K8s 完成平台与电单车监管核心能力上线，实现车辆档案、实时定位、超速报警、数据报表等能力的落地。</w:t>
      </w:r>
    </w:p>
    <w:p>
      <w:pPr>
        <w:spacing w:after="120" w:before="0"/>
      </w:pPr>
      <w:r>
        <w:rPr>
          <w:rFonts w:ascii="Calibri" w:hAnsi="Calibri" w:eastAsia="微软雅黑"/>
          <w:b w:val="0"/>
          <w:sz w:val="22"/>
        </w:rPr>
        <w:t>二期将重点扩展 AI 视频分析（违规行为识别）、预测性维护（电池/车辆健康评估）与跨区域复制能力，持续深化电单车监管与多业务平台价值。</w:t>
      </w:r>
    </w:p>
    <w:p>
      <w:pPr>
        <w:pStyle w:val="Heading1"/>
      </w:pPr>
      <w:r>
        <w:t>附：插图清单（12 张）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ebike-monitor.jpg — 电单车车辆管理（实时列表 · 地图）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ebike-car-list.jpg — 电单车车辆列表（状态/速度/警告）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ebike-reports.jpg — 电单车数据报表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myai-dashboard.jpg — 平台总览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myai-users.jpg — 用户管理（RBAC）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myai-tenant.jpg — 租户管理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myai-files.jpg — 文件管理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myai-cms.jpg — 内容管理（CMS）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myai-audit.jpg — 操作审计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myai-messages.jpg — 消息中心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myai-workflow.jpg — 工作流</w:t>
      </w:r>
    </w:p>
    <w:p>
      <w:pPr>
        <w:spacing w:after="60" w:before="0"/>
      </w:pPr>
      <w:r>
        <w:rPr>
          <w:rFonts w:ascii="Calibri" w:hAnsi="Calibri" w:eastAsia="微软雅黑"/>
          <w:b w:val="0"/>
          <w:sz w:val="22"/>
        </w:rPr>
        <w:t>• myai-lpr.jpg — 车牌识别（LPR）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