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5663" w14:textId="77777777"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FC9C712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AE6AC5E" w14:textId="77777777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0E6F8026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693D7CB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0CA641B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7F6F4615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AE09182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43B080F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27B10D94" w14:textId="77777777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Анализ полноты и непротиворечивости требований системы – «Сервис персонализированного контроля питания» (Metabolix)</w:t>
      </w:r>
    </w:p>
    <w:p w14:paraId="4E62B058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3B14080B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A85734D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CA51AA1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24FB5B2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9E561CD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FE5E5DD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B03ACF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20CCE3C7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F4B153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2E78F914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71F84CE7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5DAB358C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0C3230F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14:paraId="7C8D969F" w14:textId="77777777"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Титков Д.М.</w:t>
      </w:r>
    </w:p>
    <w:p w14:paraId="5ED84D9E" w14:textId="77777777"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14:paraId="2B2689FB" w14:textId="77777777" w:rsidR="00D63BE8" w:rsidRDefault="00F37FB4">
      <w:pPr>
        <w:spacing w:before="0"/>
        <w:ind w:firstLine="850"/>
      </w:pPr>
      <w:r>
        <w:lastRenderedPageBreak/>
        <w:t>Настоящий документ содержит проверку комплекса документов по проекту «Сервис персонализированного контроля питания» (Metabolix) на полноту по стейкхолдерам, полноту по сценариям использования, однозначность формулировок и непротиворечивость. Проверке подлежат 68 требований: 33 функциональных (FR</w:t>
      </w:r>
      <w:r>
        <w:noBreakHyphen/>
        <w:t>01 – FR</w:t>
      </w:r>
      <w:r>
        <w:noBreakHyphen/>
        <w:t>33), 24 нефункциональных (NFR</w:t>
      </w:r>
      <w:r>
        <w:noBreakHyphen/>
        <w:t>01 – NFR</w:t>
      </w:r>
      <w:r>
        <w:noBreakHyphen/>
        <w:t>24) и 11 ограничений (CON</w:t>
      </w:r>
      <w:r>
        <w:noBreakHyphen/>
        <w:t>01 – CON</w:t>
      </w:r>
      <w:r>
        <w:noBreakHyphen/>
        <w:t>11). Проверка выполнена после синхронизации технического задания с перечнем требований и включения диаграмм вариантов использования в документ «Сценарии использования системы». Выявленные пробелы помечены кодами УТ и собраны в разделе 5.</w:t>
      </w:r>
    </w:p>
    <w:p w14:paraId="00882506" w14:textId="77777777" w:rsidR="00D63BE8" w:rsidRDefault="00F37FB4">
      <w:pPr>
        <w:spacing w:before="0"/>
        <w:ind w:firstLine="850"/>
      </w:pPr>
      <w:r>
        <w:t>Состав документов комплекса и предмет проверки по каждому из них приведены в таблице 1.</w:t>
      </w:r>
    </w:p>
    <w:p w14:paraId="02010B8F" w14:textId="77777777" w:rsidR="00D63BE8" w:rsidRDefault="00F37FB4">
      <w:pPr>
        <w:keepNext/>
        <w:spacing w:after="120" w:line="240" w:lineRule="auto"/>
        <w:ind w:firstLine="0"/>
        <w:jc w:val="left"/>
      </w:pPr>
      <w:r>
        <w:t>Таблица 1 – Документы комплекса и предмет проверки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6C1C68" w14:paraId="024A98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8" w:type="dxa"/>
          </w:tcPr>
          <w:p w14:paraId="7D251F26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Документ комплекса</w:t>
            </w:r>
          </w:p>
        </w:tc>
        <w:tc>
          <w:tcPr>
            <w:tcW w:w="7258" w:type="dxa"/>
          </w:tcPr>
          <w:p w14:paraId="1428F4F8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проверялось по документу</w:t>
            </w:r>
          </w:p>
        </w:tc>
      </w:tr>
      <w:tr w:rsidR="006C1C68" w14:paraId="2B69C880" w14:textId="77777777">
        <w:trPr>
          <w:cantSplit/>
        </w:trPr>
        <w:tc>
          <w:tcPr>
            <w:tcW w:w="2948" w:type="dxa"/>
          </w:tcPr>
          <w:p w14:paraId="02C9282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Первичный анализ продукта</w:t>
            </w:r>
          </w:p>
        </w:tc>
        <w:tc>
          <w:tcPr>
            <w:tcW w:w="7258" w:type="dxa"/>
          </w:tcPr>
          <w:p w14:paraId="7A15A50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Бизнес-проблема, цель системы и измеримый результат, стейкхолдеры (конечный пользователь, владелец продукта, оператор системы) и их пользовательские истории, границы системы, необходимые данные, основные риски, этические и правовые ограничения и первичные требования. Документ использован как основание проверки полноты по стейкхолдерам (раздел 1).</w:t>
            </w:r>
          </w:p>
        </w:tc>
      </w:tr>
      <w:tr w:rsidR="006C1C68" w14:paraId="1BF09E0B" w14:textId="77777777">
        <w:trPr>
          <w:cantSplit/>
        </w:trPr>
        <w:tc>
          <w:tcPr>
            <w:tcW w:w="2948" w:type="dxa"/>
          </w:tcPr>
          <w:p w14:paraId="143D8E2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Сценарии использования системы</w:t>
            </w:r>
          </w:p>
        </w:tc>
        <w:tc>
          <w:tcPr>
            <w:tcW w:w="7258" w:type="dxa"/>
          </w:tcPr>
          <w:p w14:paraId="1884064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Сценарии UC</w:t>
            </w:r>
            <w:r>
              <w:rPr>
                <w:sz w:val="20"/>
              </w:rPr>
              <w:noBreakHyphen/>
              <w:t>1 – UC</w:t>
            </w:r>
            <w:r>
              <w:rPr>
                <w:sz w:val="20"/>
              </w:rPr>
              <w:noBreakHyphen/>
              <w:t>6 с диаграммами вариантов использования: предусловия, основные и альтернативные потоки событий, постусловия и специальные требования. Документ использован как основание проверки полноты по сценариям использования (раздел 2).</w:t>
            </w:r>
          </w:p>
        </w:tc>
      </w:tr>
      <w:tr w:rsidR="006C1C68" w14:paraId="63F2EC49" w14:textId="77777777">
        <w:trPr>
          <w:cantSplit/>
        </w:trPr>
        <w:tc>
          <w:tcPr>
            <w:tcW w:w="2948" w:type="dxa"/>
          </w:tcPr>
          <w:p w14:paraId="78EBC8D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Классификация и формализация требований</w:t>
            </w:r>
          </w:p>
        </w:tc>
        <w:tc>
          <w:tcPr>
            <w:tcW w:w="7258" w:type="dxa"/>
          </w:tcPr>
          <w:p w14:paraId="0884A67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Перечень 68 требований с категорией по ГОСТ Р ИСО/МЭК 25010-2015, источником, обоснованием, приоритетом и критерием верификации, а также таблица трассировки сценариев использования и требований. Перечень проверен на однозначность формулировок (раздел 3) и непротиворечивость (раздел 4).</w:t>
            </w:r>
          </w:p>
        </w:tc>
      </w:tr>
      <w:tr w:rsidR="006C1C68" w14:paraId="2AB20F9C" w14:textId="77777777">
        <w:trPr>
          <w:cantSplit/>
        </w:trPr>
        <w:tc>
          <w:tcPr>
            <w:tcW w:w="2948" w:type="dxa"/>
          </w:tcPr>
          <w:p w14:paraId="795F8A2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Техническое задание</w:t>
            </w:r>
          </w:p>
        </w:tc>
        <w:tc>
          <w:tcPr>
            <w:tcW w:w="7258" w:type="dxa"/>
          </w:tcPr>
          <w:p w14:paraId="6144E27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Требования к системе, макеты экранов, подраздел «Сценарии использования системы» и таблица приёмки. Сверкой подтверждено, что ТЗ содержит все 68 требований перечня: формулировки функциональных требований и ограничений совпадают дословно, нефункциональные требования приведены в соответствующих подразделах ТЗ со ссылкой на идентификатор, наименования, приоритеты и критерии в таблице приёмки совпадают. Документ использован как источник сведений о составе интерфейса и порядке приёмки (разделы 2 – 4).</w:t>
            </w:r>
          </w:p>
        </w:tc>
      </w:tr>
    </w:tbl>
    <w:p w14:paraId="0C0D959D" w14:textId="77777777" w:rsidR="00D63BE8" w:rsidRDefault="00F37FB4">
      <w:pPr>
        <w:keepNext/>
        <w:ind w:firstLine="850"/>
      </w:pPr>
      <w:r>
        <w:rPr>
          <w:b/>
        </w:rPr>
        <w:t>1. Проверка полноты по стейкхолдерам</w:t>
      </w:r>
    </w:p>
    <w:p w14:paraId="00315585" w14:textId="77777777" w:rsidR="00D63BE8" w:rsidRDefault="00F37FB4">
      <w:pPr>
        <w:spacing w:before="0"/>
        <w:ind w:firstLine="850"/>
      </w:pPr>
      <w:r>
        <w:t>В «Первичном анализе продукта» выделены три стейкхолдера: конечный пользователь, владелец продукта и оператор системы. В графе «Источник» перечня требований дополнительно используются диетолог-эксперт (StH</w:t>
      </w:r>
      <w:r>
        <w:noBreakHyphen/>
        <w:t>04), регулятор в области защиты персональных данных (StH</w:t>
      </w:r>
      <w:r>
        <w:noBreakHyphen/>
        <w:t>05) и внешний поставщик базы данных продуктов (StH</w:t>
      </w:r>
      <w:r>
        <w:noBreakHyphen/>
        <w:t>06), которые в первичном анализе не описаны (УТ</w:t>
      </w:r>
      <w:r>
        <w:noBreakHyphen/>
        <w:t>1). Для каждой потребности или условия всех шести стейкхолдеров найдены требования, которые прямо на неё отвечают (таблица 2). Дополнительно проверено покрытие основных рисков, этических и правовых ограничений первичного анализа.</w:t>
      </w:r>
    </w:p>
    <w:p w14:paraId="7FAA8C9B" w14:textId="77777777" w:rsidR="00D63BE8" w:rsidRDefault="00F37FB4">
      <w:pPr>
        <w:keepNext/>
        <w:spacing w:after="120" w:line="240" w:lineRule="auto"/>
        <w:ind w:firstLine="0"/>
        <w:jc w:val="left"/>
      </w:pPr>
      <w:r>
        <w:lastRenderedPageBreak/>
        <w:t>Таблица 2 – Полнота требований по стейкхолдерам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1929"/>
        <w:gridCol w:w="2721"/>
        <w:gridCol w:w="2154"/>
        <w:gridCol w:w="3402"/>
      </w:tblGrid>
      <w:tr w:rsidR="006C1C68" w14:paraId="401AD2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9" w:type="dxa"/>
          </w:tcPr>
          <w:p w14:paraId="4CE1067A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Стейкхолдер</w:t>
            </w:r>
          </w:p>
        </w:tc>
        <w:tc>
          <w:tcPr>
            <w:tcW w:w="2721" w:type="dxa"/>
          </w:tcPr>
          <w:p w14:paraId="6FC25B65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Ключевая потребность или условие</w:t>
            </w:r>
          </w:p>
        </w:tc>
        <w:tc>
          <w:tcPr>
            <w:tcW w:w="2154" w:type="dxa"/>
          </w:tcPr>
          <w:p w14:paraId="0E39332C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Покрывающие требования</w:t>
            </w:r>
          </w:p>
        </w:tc>
        <w:tc>
          <w:tcPr>
            <w:tcW w:w="3402" w:type="dxa"/>
          </w:tcPr>
          <w:p w14:paraId="436CCDAA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6C1C68" w14:paraId="46916BE2" w14:textId="77777777">
        <w:trPr>
          <w:cantSplit/>
        </w:trPr>
        <w:tc>
          <w:tcPr>
            <w:tcW w:w="1929" w:type="dxa"/>
          </w:tcPr>
          <w:p w14:paraId="6016708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01. Конечный пользователь</w:t>
            </w:r>
          </w:p>
        </w:tc>
        <w:tc>
          <w:tcPr>
            <w:tcW w:w="2721" w:type="dxa"/>
          </w:tcPr>
          <w:p w14:paraId="57E77AE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Указать параметры и получить персональный план по калориям и БЖУ; вести дневник питания и веса; получить понятное объяснение, если результат не соответствует ожиданиям; отличать естественные колебания веса от системной проблемы.</w:t>
            </w:r>
          </w:p>
        </w:tc>
        <w:tc>
          <w:tcPr>
            <w:tcW w:w="2154" w:type="dxa"/>
          </w:tcPr>
          <w:p w14:paraId="6663C36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01 – FR</w:t>
            </w:r>
            <w:r>
              <w:rPr>
                <w:sz w:val="20"/>
              </w:rPr>
              <w:noBreakHyphen/>
              <w:t>33; NFR</w:t>
            </w:r>
            <w:r>
              <w:rPr>
                <w:sz w:val="20"/>
              </w:rPr>
              <w:noBreakHyphen/>
              <w:t>01 – NFR</w:t>
            </w:r>
            <w:r>
              <w:rPr>
                <w:sz w:val="20"/>
              </w:rPr>
              <w:noBreakHyphen/>
              <w:t>03, NFR</w:t>
            </w:r>
            <w:r>
              <w:rPr>
                <w:sz w:val="20"/>
              </w:rPr>
              <w:noBreakHyphen/>
              <w:t>06, NFR</w:t>
            </w:r>
            <w:r>
              <w:rPr>
                <w:sz w:val="20"/>
              </w:rPr>
              <w:noBreakHyphen/>
              <w:t>12, NFR</w:t>
            </w:r>
            <w:r>
              <w:rPr>
                <w:sz w:val="20"/>
              </w:rPr>
              <w:noBreakHyphen/>
              <w:t>14, NFR</w:t>
            </w:r>
            <w:r>
              <w:rPr>
                <w:sz w:val="20"/>
              </w:rPr>
              <w:noBreakHyphen/>
              <w:t>15, NFR</w:t>
            </w:r>
            <w:r>
              <w:rPr>
                <w:sz w:val="20"/>
              </w:rPr>
              <w:noBreakHyphen/>
              <w:t>23, NFR</w:t>
            </w:r>
            <w:r>
              <w:rPr>
                <w:sz w:val="20"/>
              </w:rPr>
              <w:noBreakHyphen/>
              <w:t>24; CON</w:t>
            </w:r>
            <w:r>
              <w:rPr>
                <w:sz w:val="20"/>
              </w:rPr>
              <w:noBreakHyphen/>
              <w:t>01, CON</w:t>
            </w:r>
            <w:r>
              <w:rPr>
                <w:sz w:val="20"/>
              </w:rPr>
              <w:noBreakHyphen/>
              <w:t>03, CON</w:t>
            </w:r>
            <w:r>
              <w:rPr>
                <w:sz w:val="20"/>
              </w:rPr>
              <w:noBreakHyphen/>
              <w:t>04</w:t>
            </w:r>
          </w:p>
        </w:tc>
        <w:tc>
          <w:tcPr>
            <w:tcW w:w="3402" w:type="dxa"/>
          </w:tcPr>
          <w:p w14:paraId="1C4CBA3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четыре пользовательские истории покрыты. Учёт физической активности, входящий в границы первичного анализа («трекинг питания, активности и веса»), требованиями не обеспечен (УТ</w:t>
            </w:r>
            <w:r>
              <w:rPr>
                <w:sz w:val="20"/>
              </w:rPr>
              <w:noBreakHyphen/>
              <w:t>4). Не определены направление отклонения, при котором запускается диагностика (таблица 4, УТ</w:t>
            </w:r>
            <w:r>
              <w:rPr>
                <w:sz w:val="20"/>
              </w:rPr>
              <w:noBreakHyphen/>
              <w:t>13), и минимальный объём данных для неё (УТ</w:t>
            </w:r>
            <w:r>
              <w:rPr>
                <w:sz w:val="20"/>
              </w:rPr>
              <w:noBreakHyphen/>
              <w:t>12).</w:t>
            </w:r>
          </w:p>
        </w:tc>
      </w:tr>
      <w:tr w:rsidR="006C1C68" w14:paraId="27544C1A" w14:textId="77777777">
        <w:trPr>
          <w:cantSplit/>
        </w:trPr>
        <w:tc>
          <w:tcPr>
            <w:tcW w:w="1929" w:type="dxa"/>
          </w:tcPr>
          <w:p w14:paraId="53E4A00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02. Владелец продукта</w:t>
            </w:r>
          </w:p>
        </w:tc>
        <w:tc>
          <w:tcPr>
            <w:tcW w:w="2721" w:type="dxa"/>
          </w:tcPr>
          <w:p w14:paraId="04DB3D9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Видеть метрики удержания пользователей; формировать объяснения автоматически по заданным правилам без привлечения нутрициолога; видеть агрегированную статистику причин отсутствия прогресса; обновлять базу правил без выпуска новой версии приложения.</w:t>
            </w:r>
          </w:p>
        </w:tc>
        <w:tc>
          <w:tcPr>
            <w:tcW w:w="2154" w:type="dxa"/>
          </w:tcPr>
          <w:p w14:paraId="69D609D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17 – FR</w:t>
            </w:r>
            <w:r>
              <w:rPr>
                <w:sz w:val="20"/>
              </w:rPr>
              <w:noBreakHyphen/>
              <w:t>23; NFR</w:t>
            </w:r>
            <w:r>
              <w:rPr>
                <w:sz w:val="20"/>
              </w:rPr>
              <w:noBreakHyphen/>
              <w:t>13; CON</w:t>
            </w:r>
            <w:r>
              <w:rPr>
                <w:sz w:val="20"/>
              </w:rPr>
              <w:noBreakHyphen/>
              <w:t>08, CON</w:t>
            </w:r>
            <w:r>
              <w:rPr>
                <w:sz w:val="20"/>
              </w:rPr>
              <w:noBreakHyphen/>
              <w:t>09</w:t>
            </w:r>
          </w:p>
        </w:tc>
        <w:tc>
          <w:tcPr>
            <w:tcW w:w="3402" w:type="dxa"/>
          </w:tcPr>
          <w:p w14:paraId="53455ED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Покрыта одна из четырёх пользовательских историй – автоматическое формирование объяснений. Метрики удержания и статистика причин (УТ</w:t>
            </w:r>
            <w:r>
              <w:rPr>
                <w:sz w:val="20"/>
              </w:rPr>
              <w:noBreakHyphen/>
              <w:t>2) и обновление правил без выпуска приложения (УТ</w:t>
            </w:r>
            <w:r>
              <w:rPr>
                <w:sz w:val="20"/>
              </w:rPr>
              <w:noBreakHyphen/>
              <w:t>3) не обеспечены. Измеримый результат цели системы («не менее 70 % отклонений сопровождаются объяснением в течение 24 часов») системой не измеряется (УТ</w:t>
            </w:r>
            <w:r>
              <w:rPr>
                <w:sz w:val="20"/>
              </w:rPr>
              <w:noBreakHyphen/>
              <w:t>2).</w:t>
            </w:r>
          </w:p>
        </w:tc>
      </w:tr>
      <w:tr w:rsidR="006C1C68" w14:paraId="2B59C5E1" w14:textId="77777777">
        <w:trPr>
          <w:cantSplit/>
        </w:trPr>
        <w:tc>
          <w:tcPr>
            <w:tcW w:w="1929" w:type="dxa"/>
          </w:tcPr>
          <w:p w14:paraId="67F84DC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03. Оператор системы</w:t>
            </w:r>
          </w:p>
        </w:tc>
        <w:tc>
          <w:tcPr>
            <w:tcW w:w="2721" w:type="dxa"/>
          </w:tcPr>
          <w:p w14:paraId="3BCD687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Видеть журналы ошибок расчётного модуля и движка объяснений; управлять правилами диагностики через конфигурацию; контролировать нагрузку и доступность внешних интеграций; получать уведомления о массовых сбоях синхронизации с трекерами.</w:t>
            </w:r>
          </w:p>
        </w:tc>
        <w:tc>
          <w:tcPr>
            <w:tcW w:w="2154" w:type="dxa"/>
          </w:tcPr>
          <w:p w14:paraId="522DA9D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04, NFR</w:t>
            </w:r>
            <w:r>
              <w:rPr>
                <w:sz w:val="20"/>
              </w:rPr>
              <w:noBreakHyphen/>
              <w:t>05, NFR</w:t>
            </w:r>
            <w:r>
              <w:rPr>
                <w:sz w:val="20"/>
              </w:rPr>
              <w:noBreakHyphen/>
              <w:t>07, NFR</w:t>
            </w:r>
            <w:r>
              <w:rPr>
                <w:sz w:val="20"/>
              </w:rPr>
              <w:noBreakHyphen/>
              <w:t>13, NFR</w:t>
            </w:r>
            <w:r>
              <w:rPr>
                <w:sz w:val="20"/>
              </w:rPr>
              <w:noBreakHyphen/>
              <w:t>17, NFR</w:t>
            </w:r>
            <w:r>
              <w:rPr>
                <w:sz w:val="20"/>
              </w:rPr>
              <w:noBreakHyphen/>
              <w:t>18, NFR</w:t>
            </w:r>
            <w:r>
              <w:rPr>
                <w:sz w:val="20"/>
              </w:rPr>
              <w:noBreakHyphen/>
              <w:t>21, NFR</w:t>
            </w:r>
            <w:r>
              <w:rPr>
                <w:sz w:val="20"/>
              </w:rPr>
              <w:noBreakHyphen/>
              <w:t>22</w:t>
            </w:r>
          </w:p>
        </w:tc>
        <w:tc>
          <w:tcPr>
            <w:tcW w:w="3402" w:type="dxa"/>
          </w:tcPr>
          <w:p w14:paraId="3CDAA78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Журналирование, мониторинг и контроль лимитов внешнего источника обеспечены (NFR</w:t>
            </w:r>
            <w:r>
              <w:rPr>
                <w:sz w:val="20"/>
              </w:rPr>
              <w:noBreakHyphen/>
              <w:t>21). Управление правилами через конфигурацию не обеспечено (УТ</w:t>
            </w:r>
            <w:r>
              <w:rPr>
                <w:sz w:val="20"/>
              </w:rPr>
              <w:noBreakHyphen/>
              <w:t>3). История о сбоях синхронизации с трекерами в текущей версии неактуальна: интеграция с трекерами отнесена в ТЗ к перспективам развития, что требует согласования границ первичного анализа (УТ</w:t>
            </w:r>
            <w:r>
              <w:rPr>
                <w:sz w:val="20"/>
              </w:rPr>
              <w:noBreakHyphen/>
              <w:t>4).</w:t>
            </w:r>
          </w:p>
        </w:tc>
      </w:tr>
      <w:tr w:rsidR="006C1C68" w14:paraId="55ED79BF" w14:textId="77777777">
        <w:trPr>
          <w:cantSplit/>
        </w:trPr>
        <w:tc>
          <w:tcPr>
            <w:tcW w:w="1929" w:type="dxa"/>
          </w:tcPr>
          <w:p w14:paraId="2E09086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04. Диетолог-эксперт</w:t>
            </w:r>
          </w:p>
        </w:tc>
        <w:tc>
          <w:tcPr>
            <w:tcW w:w="2721" w:type="dxa"/>
          </w:tcPr>
          <w:p w14:paraId="2B95269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Формировать и проверять базу правил диагностики; проверять корректность классификации задним числом; получать при эскалации сложного случая только обезличенные данные.</w:t>
            </w:r>
          </w:p>
        </w:tc>
        <w:tc>
          <w:tcPr>
            <w:tcW w:w="2154" w:type="dxa"/>
          </w:tcPr>
          <w:p w14:paraId="13F59B3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13, NFR</w:t>
            </w:r>
            <w:r>
              <w:rPr>
                <w:sz w:val="20"/>
              </w:rPr>
              <w:noBreakHyphen/>
              <w:t>15; CON</w:t>
            </w:r>
            <w:r>
              <w:rPr>
                <w:sz w:val="20"/>
              </w:rPr>
              <w:noBreakHyphen/>
              <w:t>03, CON</w:t>
            </w:r>
            <w:r>
              <w:rPr>
                <w:sz w:val="20"/>
              </w:rPr>
              <w:noBreakHyphen/>
              <w:t>06</w:t>
            </w:r>
          </w:p>
        </w:tc>
        <w:tc>
          <w:tcPr>
            <w:tcW w:w="3402" w:type="dxa"/>
          </w:tcPr>
          <w:p w14:paraId="505131B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Прослеживаемость диагностики обеспечена (NFR</w:t>
            </w:r>
            <w:r>
              <w:rPr>
                <w:sz w:val="20"/>
              </w:rPr>
              <w:noBreakHyphen/>
              <w:t>13). Способ, которым эксперт получает основания диагностики и версию правил, не определён (УТ</w:t>
            </w:r>
            <w:r>
              <w:rPr>
                <w:sz w:val="20"/>
              </w:rPr>
              <w:noBreakHyphen/>
              <w:t>3). Ограничение CON</w:t>
            </w:r>
            <w:r>
              <w:rPr>
                <w:sz w:val="20"/>
              </w:rPr>
              <w:noBreakHyphen/>
              <w:t>06 относится к эскалации, которая в ТЗ отнесена к перспективам развития (таблица 5, пункт 3). Стейкхолдер отсутствует в первичном анализе (УТ</w:t>
            </w:r>
            <w:r>
              <w:rPr>
                <w:sz w:val="20"/>
              </w:rPr>
              <w:noBreakHyphen/>
              <w:t>1).</w:t>
            </w:r>
          </w:p>
        </w:tc>
      </w:tr>
      <w:tr w:rsidR="006C1C68" w14:paraId="11D25507" w14:textId="77777777">
        <w:trPr>
          <w:cantSplit/>
        </w:trPr>
        <w:tc>
          <w:tcPr>
            <w:tcW w:w="1929" w:type="dxa"/>
          </w:tcPr>
          <w:p w14:paraId="126471A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05. Регулятор в области защиты персональных данных</w:t>
            </w:r>
          </w:p>
        </w:tc>
        <w:tc>
          <w:tcPr>
            <w:tcW w:w="2721" w:type="dxa"/>
          </w:tcPr>
          <w:p w14:paraId="3269B2C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Явное согласие на обработку специальной категории данных; право на доступ к данным, их изменение, удаление и выгрузку; защищённое хранение и передача данных о здоровье; хранение персональных данных граждан РФ на территории РФ.</w:t>
            </w:r>
          </w:p>
        </w:tc>
        <w:tc>
          <w:tcPr>
            <w:tcW w:w="2154" w:type="dxa"/>
          </w:tcPr>
          <w:p w14:paraId="1BFCF16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30, FR</w:t>
            </w:r>
            <w:r>
              <w:rPr>
                <w:sz w:val="20"/>
              </w:rPr>
              <w:noBreakHyphen/>
              <w:t>31; NFR</w:t>
            </w:r>
            <w:r>
              <w:rPr>
                <w:sz w:val="20"/>
              </w:rPr>
              <w:noBreakHyphen/>
              <w:t>08 – NFR</w:t>
            </w:r>
            <w:r>
              <w:rPr>
                <w:sz w:val="20"/>
              </w:rPr>
              <w:noBreakHyphen/>
              <w:t>11, NFR</w:t>
            </w:r>
            <w:r>
              <w:rPr>
                <w:sz w:val="20"/>
              </w:rPr>
              <w:noBreakHyphen/>
              <w:t>20; CON</w:t>
            </w:r>
            <w:r>
              <w:rPr>
                <w:sz w:val="20"/>
              </w:rPr>
              <w:noBreakHyphen/>
              <w:t>05</w:t>
            </w:r>
          </w:p>
        </w:tc>
        <w:tc>
          <w:tcPr>
            <w:tcW w:w="3402" w:type="dxa"/>
          </w:tcPr>
          <w:p w14:paraId="51C51C0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Согласие, доступ, изменение, удаление и защита данных обеспечены. Выгрузка всех персональных данных по запросу покрыта только экспортом дневника питания (FR</w:t>
            </w:r>
            <w:r>
              <w:rPr>
                <w:sz w:val="20"/>
              </w:rPr>
              <w:noBreakHyphen/>
              <w:t>27, Could Have) (УТ</w:t>
            </w:r>
            <w:r>
              <w:rPr>
                <w:sz w:val="20"/>
              </w:rPr>
              <w:noBreakHyphen/>
              <w:t>6). Требование о хранении персональных данных на территории РФ из первичного анализа в перечень не перенесено (УТ</w:t>
            </w:r>
            <w:r>
              <w:rPr>
                <w:sz w:val="20"/>
              </w:rPr>
              <w:noBreakHyphen/>
              <w:t>5). Сроки хранения данных после удаления учётной записи разобраны в таблице 5 (пункты 1 и 2).</w:t>
            </w:r>
          </w:p>
        </w:tc>
      </w:tr>
      <w:tr w:rsidR="006C1C68" w14:paraId="0E1754DE" w14:textId="77777777">
        <w:trPr>
          <w:cantSplit/>
        </w:trPr>
        <w:tc>
          <w:tcPr>
            <w:tcW w:w="1929" w:type="dxa"/>
          </w:tcPr>
          <w:p w14:paraId="4D149E6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06. Поставщик базы данных продуктов</w:t>
            </w:r>
          </w:p>
        </w:tc>
        <w:tc>
          <w:tcPr>
            <w:tcW w:w="2721" w:type="dxa"/>
          </w:tcPr>
          <w:p w14:paraId="2B0D730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Использование сведений о продуктах по лицензии и с указанием источника; соблюдение лимитов бесплатного тарифа; корректная работа системы при недоступности внешнего сервиса.</w:t>
            </w:r>
          </w:p>
        </w:tc>
        <w:tc>
          <w:tcPr>
            <w:tcW w:w="2154" w:type="dxa"/>
          </w:tcPr>
          <w:p w14:paraId="3E0230A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06, FR</w:t>
            </w:r>
            <w:r>
              <w:rPr>
                <w:sz w:val="20"/>
              </w:rPr>
              <w:noBreakHyphen/>
              <w:t>07, FR</w:t>
            </w:r>
            <w:r>
              <w:rPr>
                <w:sz w:val="20"/>
              </w:rPr>
              <w:noBreakHyphen/>
              <w:t>12; NFR</w:t>
            </w:r>
            <w:r>
              <w:rPr>
                <w:sz w:val="20"/>
              </w:rPr>
              <w:noBreakHyphen/>
              <w:t>18, NFR</w:t>
            </w:r>
            <w:r>
              <w:rPr>
                <w:sz w:val="20"/>
              </w:rPr>
              <w:noBreakHyphen/>
              <w:t>21; CON</w:t>
            </w:r>
            <w:r>
              <w:rPr>
                <w:sz w:val="20"/>
              </w:rPr>
              <w:noBreakHyphen/>
              <w:t>07, CON</w:t>
            </w:r>
            <w:r>
              <w:rPr>
                <w:sz w:val="20"/>
              </w:rPr>
              <w:noBreakHyphen/>
              <w:t>08, CON</w:t>
            </w:r>
            <w:r>
              <w:rPr>
                <w:sz w:val="20"/>
              </w:rPr>
              <w:noBreakHyphen/>
              <w:t>11</w:t>
            </w:r>
          </w:p>
        </w:tc>
        <w:tc>
          <w:tcPr>
            <w:tcW w:w="3402" w:type="dxa"/>
          </w:tcPr>
          <w:p w14:paraId="7510519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подтверждена. Совместимость лимитов бесплатного тарифа с требованием к числу одновременных запросов разобрана в таблице 5 (пункт 8). Стейкхолдер отсутствует в первичном анализе (УТ</w:t>
            </w:r>
            <w:r>
              <w:rPr>
                <w:sz w:val="20"/>
              </w:rPr>
              <w:noBreakHyphen/>
              <w:t>1).</w:t>
            </w:r>
          </w:p>
        </w:tc>
      </w:tr>
      <w:tr w:rsidR="006C1C68" w14:paraId="75B5F77A" w14:textId="77777777">
        <w:trPr>
          <w:cantSplit/>
        </w:trPr>
        <w:tc>
          <w:tcPr>
            <w:tcW w:w="1929" w:type="dxa"/>
          </w:tcPr>
          <w:p w14:paraId="301F8CE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Риски, этические и правовые ограничения первичного анализа</w:t>
            </w:r>
          </w:p>
        </w:tc>
        <w:tc>
          <w:tcPr>
            <w:tcW w:w="2721" w:type="dxa"/>
          </w:tcPr>
          <w:p w14:paraId="456D8C5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Недоучёт калорий при логировании; недостаток данных на момент диагностики; использование системы людьми с признаками расстройств пищевого поведения; утечка данных о здоровье; отказ API внешнего поставщика; восприятие объяснения как медицинского диагноза.</w:t>
            </w:r>
          </w:p>
        </w:tc>
        <w:tc>
          <w:tcPr>
            <w:tcW w:w="2154" w:type="dxa"/>
          </w:tcPr>
          <w:p w14:paraId="16AD498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19, FR</w:t>
            </w:r>
            <w:r>
              <w:rPr>
                <w:sz w:val="20"/>
              </w:rPr>
              <w:noBreakHyphen/>
              <w:t>20, FR</w:t>
            </w:r>
            <w:r>
              <w:rPr>
                <w:sz w:val="20"/>
              </w:rPr>
              <w:noBreakHyphen/>
              <w:t>24, FR</w:t>
            </w:r>
            <w:r>
              <w:rPr>
                <w:sz w:val="20"/>
              </w:rPr>
              <w:noBreakHyphen/>
              <w:t>30; NFR</w:t>
            </w:r>
            <w:r>
              <w:rPr>
                <w:sz w:val="20"/>
              </w:rPr>
              <w:noBreakHyphen/>
              <w:t>09 – NFR</w:t>
            </w:r>
            <w:r>
              <w:rPr>
                <w:sz w:val="20"/>
              </w:rPr>
              <w:noBreakHyphen/>
              <w:t>12, NFR</w:t>
            </w:r>
            <w:r>
              <w:rPr>
                <w:sz w:val="20"/>
              </w:rPr>
              <w:noBreakHyphen/>
              <w:t>18; CON</w:t>
            </w:r>
            <w:r>
              <w:rPr>
                <w:sz w:val="20"/>
              </w:rPr>
              <w:noBreakHyphen/>
              <w:t>01, CON</w:t>
            </w:r>
            <w:r>
              <w:rPr>
                <w:sz w:val="20"/>
              </w:rPr>
              <w:noBreakHyphen/>
              <w:t>03, CON</w:t>
            </w:r>
            <w:r>
              <w:rPr>
                <w:sz w:val="20"/>
              </w:rPr>
              <w:noBreakHyphen/>
              <w:t>05</w:t>
            </w:r>
          </w:p>
        </w:tc>
        <w:tc>
          <w:tcPr>
            <w:tcW w:w="3402" w:type="dxa"/>
          </w:tcPr>
          <w:p w14:paraId="10E9D5A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Риски утечки данных, отказа внешнего API и восприятия объяснения как диагноза покрыты. Минимальный объём данных для диагностики закреплён только предусловием UC</w:t>
            </w:r>
            <w:r>
              <w:rPr>
                <w:sz w:val="20"/>
              </w:rPr>
              <w:noBreakHyphen/>
              <w:t>4 (УТ</w:t>
            </w:r>
            <w:r>
              <w:rPr>
                <w:sz w:val="20"/>
              </w:rPr>
              <w:noBreakHyphen/>
              <w:t>12). Защита пользователей с риском расстройств пищевого поведения ограничена дисклеймером FR</w:t>
            </w:r>
            <w:r>
              <w:rPr>
                <w:sz w:val="20"/>
              </w:rPr>
              <w:noBreakHyphen/>
              <w:t>24: нижняя граница нормы калорий и проверка целевого веса не установлены (УТ</w:t>
            </w:r>
            <w:r>
              <w:rPr>
                <w:sz w:val="20"/>
              </w:rPr>
              <w:noBreakHyphen/>
              <w:t>7).</w:t>
            </w:r>
          </w:p>
        </w:tc>
      </w:tr>
    </w:tbl>
    <w:p w14:paraId="60E3E9AC" w14:textId="77777777" w:rsidR="00D63BE8" w:rsidRDefault="00F37FB4">
      <w:pPr>
        <w:spacing w:before="0"/>
        <w:ind w:firstLine="850"/>
      </w:pPr>
      <w:r>
        <w:t>Стейкхолдеров, чьи потребности остались бы без требований, нет. Наибольший пробел относится к владельцу продукта: из четырёх его пользовательских историй покрыта одна. Для регулятора не закреплены хранение персональных данных на территории РФ и полная выгрузка данных, для пользователей из группы риска – ограничение чрезмерного дефицита калорий. Три стейкхолдера из графы «Источник» перечня требований отсутствуют в первичном анализе.</w:t>
      </w:r>
    </w:p>
    <w:p w14:paraId="22884A1F" w14:textId="77777777" w:rsidR="00D63BE8" w:rsidRDefault="00F37FB4">
      <w:pPr>
        <w:keepNext/>
        <w:ind w:firstLine="850"/>
      </w:pPr>
      <w:r>
        <w:rPr>
          <w:b/>
        </w:rPr>
        <w:t>2. Проверка полноты по сценариям использования</w:t>
      </w:r>
    </w:p>
    <w:p w14:paraId="61904A8C" w14:textId="77777777" w:rsidR="00D63BE8" w:rsidRDefault="00F37FB4">
      <w:pPr>
        <w:spacing w:before="0"/>
        <w:ind w:firstLine="850"/>
      </w:pPr>
      <w:r>
        <w:t>Каждый шаг основного потока сценариев UC</w:t>
      </w:r>
      <w:r>
        <w:noBreakHyphen/>
        <w:t>1 – UC</w:t>
      </w:r>
      <w:r>
        <w:noBreakHyphen/>
        <w:t>6, всего 37 шагов, и каждый альтернативный поток, всего 10, сопоставлены с требованиями перечня (таблица 3). Шагов, не обеспеченных ни одним требованием, не выявлено.</w:t>
      </w:r>
    </w:p>
    <w:p w14:paraId="7788BB0B" w14:textId="77777777" w:rsidR="00D63BE8" w:rsidRDefault="00F37FB4">
      <w:pPr>
        <w:keepNext/>
        <w:spacing w:after="120" w:line="240" w:lineRule="auto"/>
        <w:ind w:firstLine="0"/>
        <w:jc w:val="left"/>
      </w:pPr>
      <w:r>
        <w:t>Таблица 3 – Сопоставление шагов сценариев использования и требований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2269"/>
        <w:gridCol w:w="4989"/>
        <w:gridCol w:w="2948"/>
      </w:tblGrid>
      <w:tr w:rsidR="006C1C68" w14:paraId="30C447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9" w:type="dxa"/>
          </w:tcPr>
          <w:p w14:paraId="537C7B33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989" w:type="dxa"/>
          </w:tcPr>
          <w:p w14:paraId="698F2413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Шаги основного потока и покрывающие их требования</w:t>
            </w:r>
          </w:p>
        </w:tc>
        <w:tc>
          <w:tcPr>
            <w:tcW w:w="2948" w:type="dxa"/>
          </w:tcPr>
          <w:p w14:paraId="3367D0DC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6C1C68" w14:paraId="2B76A325" w14:textId="77777777">
        <w:trPr>
          <w:cantSplit/>
        </w:trPr>
        <w:tc>
          <w:tcPr>
            <w:tcW w:w="2269" w:type="dxa"/>
          </w:tcPr>
          <w:p w14:paraId="74EDB54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</w:t>
            </w:r>
            <w:r>
              <w:rPr>
                <w:sz w:val="20"/>
              </w:rPr>
              <w:noBreakHyphen/>
              <w:t>1. Регистрация и расчёт персонального плана</w:t>
            </w:r>
          </w:p>
        </w:tc>
        <w:tc>
          <w:tcPr>
            <w:tcW w:w="4989" w:type="dxa"/>
          </w:tcPr>
          <w:p w14:paraId="5E50D8A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</w:t>
            </w:r>
            <w:r>
              <w:rPr>
                <w:sz w:val="20"/>
              </w:rPr>
              <w:noBreakHyphen/>
              <w:t>01; шаг 2: FR</w:t>
            </w:r>
            <w:r>
              <w:rPr>
                <w:sz w:val="20"/>
              </w:rPr>
              <w:noBreakHyphen/>
              <w:t>01, NFR</w:t>
            </w:r>
            <w:r>
              <w:rPr>
                <w:sz w:val="20"/>
              </w:rPr>
              <w:noBreakHyphen/>
              <w:t>11, CON</w:t>
            </w:r>
            <w:r>
              <w:rPr>
                <w:sz w:val="20"/>
              </w:rPr>
              <w:noBreakHyphen/>
              <w:t>08; шаг 3: FR</w:t>
            </w:r>
            <w:r>
              <w:rPr>
                <w:sz w:val="20"/>
              </w:rPr>
              <w:noBreakHyphen/>
              <w:t>01, NFR</w:t>
            </w:r>
            <w:r>
              <w:rPr>
                <w:sz w:val="20"/>
              </w:rPr>
              <w:noBreakHyphen/>
              <w:t>11; шаг 4: FR</w:t>
            </w:r>
            <w:r>
              <w:rPr>
                <w:sz w:val="20"/>
              </w:rPr>
              <w:noBreakHyphen/>
              <w:t>01 (запрос согласия по FR</w:t>
            </w:r>
            <w:r>
              <w:rPr>
                <w:sz w:val="20"/>
              </w:rPr>
              <w:noBreakHyphen/>
              <w:t>30 до начала сбора данных в потоке не предусмотрен); шаг 5: FR</w:t>
            </w:r>
            <w:r>
              <w:rPr>
                <w:sz w:val="20"/>
              </w:rPr>
              <w:noBreakHyphen/>
              <w:t>02, NFR</w:t>
            </w:r>
            <w:r>
              <w:rPr>
                <w:sz w:val="20"/>
              </w:rPr>
              <w:noBreakHyphen/>
              <w:t>19, CON</w:t>
            </w:r>
            <w:r>
              <w:rPr>
                <w:sz w:val="20"/>
              </w:rPr>
              <w:noBreakHyphen/>
              <w:t>04; шаг 6: FR</w:t>
            </w:r>
            <w:r>
              <w:rPr>
                <w:sz w:val="20"/>
              </w:rPr>
              <w:noBreakHyphen/>
              <w:t>03, NFR</w:t>
            </w:r>
            <w:r>
              <w:rPr>
                <w:sz w:val="20"/>
              </w:rPr>
              <w:noBreakHyphen/>
              <w:t>01, NFR</w:t>
            </w:r>
            <w:r>
              <w:rPr>
                <w:sz w:val="20"/>
              </w:rPr>
              <w:noBreakHyphen/>
              <w:t>14; шаг 7: FR</w:t>
            </w:r>
            <w:r>
              <w:rPr>
                <w:sz w:val="20"/>
              </w:rPr>
              <w:noBreakHyphen/>
              <w:t>03, FR</w:t>
            </w:r>
            <w:r>
              <w:rPr>
                <w:sz w:val="20"/>
              </w:rPr>
              <w:noBreakHyphen/>
              <w:t>04; шаг 8: FR</w:t>
            </w:r>
            <w:r>
              <w:rPr>
                <w:sz w:val="20"/>
              </w:rPr>
              <w:noBreakHyphen/>
              <w:t>17. Альтернативные потоки: 1: FR</w:t>
            </w:r>
            <w:r>
              <w:rPr>
                <w:sz w:val="20"/>
              </w:rPr>
              <w:noBreakHyphen/>
              <w:t>01, NFR</w:t>
            </w:r>
            <w:r>
              <w:rPr>
                <w:sz w:val="20"/>
              </w:rPr>
              <w:noBreakHyphen/>
              <w:t>11; 2: FR</w:t>
            </w:r>
            <w:r>
              <w:rPr>
                <w:sz w:val="20"/>
              </w:rPr>
              <w:noBreakHyphen/>
              <w:t>04.</w:t>
            </w:r>
          </w:p>
        </w:tc>
        <w:tc>
          <w:tcPr>
            <w:tcW w:w="2948" w:type="dxa"/>
          </w:tcPr>
          <w:p w14:paraId="5E9594B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Семь шагов и оба альтернативных потока покрыты полностью. Шаг 4 покрыт частично: в сценарии нет получения согласия на обработку персональных данных, которое FR</w:t>
            </w:r>
            <w:r>
              <w:rPr>
                <w:sz w:val="20"/>
              </w:rPr>
              <w:noBreakHyphen/>
              <w:t>30 требует до начала их сбора (УТ</w:t>
            </w:r>
            <w:r>
              <w:rPr>
                <w:sz w:val="20"/>
              </w:rPr>
              <w:noBreakHyphen/>
              <w:t>8).</w:t>
            </w:r>
          </w:p>
        </w:tc>
      </w:tr>
      <w:tr w:rsidR="006C1C68" w14:paraId="7DC45226" w14:textId="77777777">
        <w:trPr>
          <w:cantSplit/>
        </w:trPr>
        <w:tc>
          <w:tcPr>
            <w:tcW w:w="2269" w:type="dxa"/>
          </w:tcPr>
          <w:p w14:paraId="015D8F8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</w:t>
            </w:r>
            <w:r>
              <w:rPr>
                <w:sz w:val="20"/>
              </w:rPr>
              <w:noBreakHyphen/>
              <w:t>2. Ведение дневника питания</w:t>
            </w:r>
          </w:p>
        </w:tc>
        <w:tc>
          <w:tcPr>
            <w:tcW w:w="4989" w:type="dxa"/>
          </w:tcPr>
          <w:p w14:paraId="7D589DC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</w:t>
            </w:r>
            <w:r>
              <w:rPr>
                <w:sz w:val="20"/>
              </w:rPr>
              <w:noBreakHyphen/>
              <w:t>09, NFR</w:t>
            </w:r>
            <w:r>
              <w:rPr>
                <w:sz w:val="20"/>
              </w:rPr>
              <w:noBreakHyphen/>
              <w:t>06; шаг 2: FR</w:t>
            </w:r>
            <w:r>
              <w:rPr>
                <w:sz w:val="20"/>
              </w:rPr>
              <w:noBreakHyphen/>
              <w:t>06, FR</w:t>
            </w:r>
            <w:r>
              <w:rPr>
                <w:sz w:val="20"/>
              </w:rPr>
              <w:noBreakHyphen/>
              <w:t>07; шаг 3: FR</w:t>
            </w:r>
            <w:r>
              <w:rPr>
                <w:sz w:val="20"/>
              </w:rPr>
              <w:noBreakHyphen/>
              <w:t>06, FR</w:t>
            </w:r>
            <w:r>
              <w:rPr>
                <w:sz w:val="20"/>
              </w:rPr>
              <w:noBreakHyphen/>
              <w:t>07, NFR</w:t>
            </w:r>
            <w:r>
              <w:rPr>
                <w:sz w:val="20"/>
              </w:rPr>
              <w:noBreakHyphen/>
              <w:t>03, CON</w:t>
            </w:r>
            <w:r>
              <w:rPr>
                <w:sz w:val="20"/>
              </w:rPr>
              <w:noBreakHyphen/>
              <w:t>07; шаг 4: FR</w:t>
            </w:r>
            <w:r>
              <w:rPr>
                <w:sz w:val="20"/>
              </w:rPr>
              <w:noBreakHyphen/>
              <w:t>08, NFR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19; шаг 5: FR</w:t>
            </w:r>
            <w:r>
              <w:rPr>
                <w:sz w:val="20"/>
              </w:rPr>
              <w:noBreakHyphen/>
              <w:t>08; шаг 6: FR</w:t>
            </w:r>
            <w:r>
              <w:rPr>
                <w:sz w:val="20"/>
              </w:rPr>
              <w:noBreakHyphen/>
              <w:t>09. Альтернативные потоки: 1: FR</w:t>
            </w:r>
            <w:r>
              <w:rPr>
                <w:sz w:val="20"/>
              </w:rPr>
              <w:noBreakHyphen/>
              <w:t>12; 2: FR</w:t>
            </w:r>
            <w:r>
              <w:rPr>
                <w:sz w:val="20"/>
              </w:rPr>
              <w:noBreakHyphen/>
              <w:t>10.</w:t>
            </w:r>
          </w:p>
        </w:tc>
        <w:tc>
          <w:tcPr>
            <w:tcW w:w="2948" w:type="dxa"/>
          </w:tcPr>
          <w:p w14:paraId="4BAB17F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шесть шагов и оба альтернативных потока покрыты полностью. Специальное требование сценария о времени отклика не более 1 с при добавлении продукта из локального кэша в перечне не закреплено (УТ</w:t>
            </w:r>
            <w:r>
              <w:rPr>
                <w:sz w:val="20"/>
              </w:rPr>
              <w:noBreakHyphen/>
              <w:t>11).</w:t>
            </w:r>
          </w:p>
        </w:tc>
      </w:tr>
      <w:tr w:rsidR="006C1C68" w14:paraId="30D4A873" w14:textId="77777777">
        <w:trPr>
          <w:cantSplit/>
        </w:trPr>
        <w:tc>
          <w:tcPr>
            <w:tcW w:w="2269" w:type="dxa"/>
          </w:tcPr>
          <w:p w14:paraId="6F9064B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</w:t>
            </w:r>
            <w:r>
              <w:rPr>
                <w:sz w:val="20"/>
              </w:rPr>
              <w:noBreakHyphen/>
              <w:t>3. Фиксация веса и отслеживание прогресса</w:t>
            </w:r>
          </w:p>
        </w:tc>
        <w:tc>
          <w:tcPr>
            <w:tcW w:w="4989" w:type="dxa"/>
          </w:tcPr>
          <w:p w14:paraId="1174329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</w:t>
            </w:r>
            <w:r>
              <w:rPr>
                <w:sz w:val="20"/>
              </w:rPr>
              <w:noBreakHyphen/>
              <w:t>13; шаг 2: FR</w:t>
            </w:r>
            <w:r>
              <w:rPr>
                <w:sz w:val="20"/>
              </w:rPr>
              <w:noBreakHyphen/>
              <w:t>13; шаг 3: FR</w:t>
            </w:r>
            <w:r>
              <w:rPr>
                <w:sz w:val="20"/>
              </w:rPr>
              <w:noBreakHyphen/>
              <w:t>14; шаг 4: FR</w:t>
            </w:r>
            <w:r>
              <w:rPr>
                <w:sz w:val="20"/>
              </w:rPr>
              <w:noBreakHyphen/>
              <w:t>15, FR</w:t>
            </w:r>
            <w:r>
              <w:rPr>
                <w:sz w:val="20"/>
              </w:rPr>
              <w:noBreakHyphen/>
              <w:t>16; шаг 5: FR</w:t>
            </w:r>
            <w:r>
              <w:rPr>
                <w:sz w:val="20"/>
              </w:rPr>
              <w:noBreakHyphen/>
              <w:t>15. Альтернативный поток 1: FR</w:t>
            </w:r>
            <w:r>
              <w:rPr>
                <w:sz w:val="20"/>
              </w:rPr>
              <w:noBreakHyphen/>
              <w:t>33.</w:t>
            </w:r>
          </w:p>
        </w:tc>
        <w:tc>
          <w:tcPr>
            <w:tcW w:w="2948" w:type="dxa"/>
          </w:tcPr>
          <w:p w14:paraId="31C6C08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пять шагов и альтернативный поток покрыты полностью.</w:t>
            </w:r>
          </w:p>
        </w:tc>
      </w:tr>
      <w:tr w:rsidR="006C1C68" w14:paraId="026A2765" w14:textId="77777777">
        <w:trPr>
          <w:cantSplit/>
        </w:trPr>
        <w:tc>
          <w:tcPr>
            <w:tcW w:w="2269" w:type="dxa"/>
          </w:tcPr>
          <w:p w14:paraId="694F207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</w:t>
            </w:r>
            <w:r>
              <w:rPr>
                <w:sz w:val="20"/>
              </w:rPr>
              <w:noBreakHyphen/>
              <w:t>4. Диагностика причины отклонения и формирование персонализированного объяснения</w:t>
            </w:r>
          </w:p>
        </w:tc>
        <w:tc>
          <w:tcPr>
            <w:tcW w:w="4989" w:type="dxa"/>
          </w:tcPr>
          <w:p w14:paraId="1B9D432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</w:t>
            </w:r>
            <w:r>
              <w:rPr>
                <w:sz w:val="20"/>
              </w:rPr>
              <w:noBreakHyphen/>
              <w:t>17; шаг 2: FR</w:t>
            </w:r>
            <w:r>
              <w:rPr>
                <w:sz w:val="20"/>
              </w:rPr>
              <w:noBreakHyphen/>
              <w:t>14, FR</w:t>
            </w:r>
            <w:r>
              <w:rPr>
                <w:sz w:val="20"/>
              </w:rPr>
              <w:noBreakHyphen/>
              <w:t>18; шаг 3: FR</w:t>
            </w:r>
            <w:r>
              <w:rPr>
                <w:sz w:val="20"/>
              </w:rPr>
              <w:noBreakHyphen/>
              <w:t>19; шаг 4: FR</w:t>
            </w:r>
            <w:r>
              <w:rPr>
                <w:sz w:val="20"/>
              </w:rPr>
              <w:noBreakHyphen/>
              <w:t>20; шаг 5: FR</w:t>
            </w:r>
            <w:r>
              <w:rPr>
                <w:sz w:val="20"/>
              </w:rPr>
              <w:noBreakHyphen/>
              <w:t>20; шаг 6: FR</w:t>
            </w:r>
            <w:r>
              <w:rPr>
                <w:sz w:val="20"/>
              </w:rPr>
              <w:noBreakHyphen/>
              <w:t>21, FR</w:t>
            </w:r>
            <w:r>
              <w:rPr>
                <w:sz w:val="20"/>
              </w:rPr>
              <w:noBreakHyphen/>
              <w:t>32; шаг 7: FR</w:t>
            </w:r>
            <w:r>
              <w:rPr>
                <w:sz w:val="20"/>
              </w:rPr>
              <w:noBreakHyphen/>
              <w:t>22; шаг 8: FR</w:t>
            </w:r>
            <w:r>
              <w:rPr>
                <w:sz w:val="20"/>
              </w:rPr>
              <w:noBreakHyphen/>
              <w:t>23, NFR</w:t>
            </w:r>
            <w:r>
              <w:rPr>
                <w:sz w:val="20"/>
              </w:rPr>
              <w:noBreakHyphen/>
              <w:t>02, NFR</w:t>
            </w:r>
            <w:r>
              <w:rPr>
                <w:sz w:val="20"/>
              </w:rPr>
              <w:noBreakHyphen/>
              <w:t>12, NFR</w:t>
            </w:r>
            <w:r>
              <w:rPr>
                <w:sz w:val="20"/>
              </w:rPr>
              <w:noBreakHyphen/>
              <w:t>13, CON</w:t>
            </w:r>
            <w:r>
              <w:rPr>
                <w:sz w:val="20"/>
              </w:rPr>
              <w:noBreakHyphen/>
              <w:t>01; шаг 9: FR</w:t>
            </w:r>
            <w:r>
              <w:rPr>
                <w:sz w:val="20"/>
              </w:rPr>
              <w:noBreakHyphen/>
              <w:t>25, FR</w:t>
            </w:r>
            <w:r>
              <w:rPr>
                <w:sz w:val="20"/>
              </w:rPr>
              <w:noBreakHyphen/>
              <w:t>29. Альтернативные потоки: 1: FR</w:t>
            </w:r>
            <w:r>
              <w:rPr>
                <w:sz w:val="20"/>
              </w:rPr>
              <w:noBreakHyphen/>
              <w:t>19; 2: FR</w:t>
            </w:r>
            <w:r>
              <w:rPr>
                <w:sz w:val="20"/>
              </w:rPr>
              <w:noBreakHyphen/>
              <w:t>16, FR</w:t>
            </w:r>
            <w:r>
              <w:rPr>
                <w:sz w:val="20"/>
              </w:rPr>
              <w:noBreakHyphen/>
              <w:t>24.</w:t>
            </w:r>
          </w:p>
        </w:tc>
        <w:tc>
          <w:tcPr>
            <w:tcW w:w="2948" w:type="dxa"/>
          </w:tcPr>
          <w:p w14:paraId="7B262BC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девять шагов и оба альтернативных потока покрыты полностью. Для шагов 2 и 3 не определено направление отклонения (таблица 4, УТ</w:t>
            </w:r>
            <w:r>
              <w:rPr>
                <w:sz w:val="20"/>
              </w:rPr>
              <w:noBreakHyphen/>
              <w:t>13), для предусловия – минимальный объём данных (УТ</w:t>
            </w:r>
            <w:r>
              <w:rPr>
                <w:sz w:val="20"/>
              </w:rPr>
              <w:noBreakHyphen/>
              <w:t>12).</w:t>
            </w:r>
          </w:p>
        </w:tc>
      </w:tr>
      <w:tr w:rsidR="006C1C68" w14:paraId="32F02126" w14:textId="77777777">
        <w:trPr>
          <w:cantSplit/>
        </w:trPr>
        <w:tc>
          <w:tcPr>
            <w:tcW w:w="2269" w:type="dxa"/>
          </w:tcPr>
          <w:p w14:paraId="3D7606D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</w:t>
            </w:r>
            <w:r>
              <w:rPr>
                <w:sz w:val="20"/>
              </w:rPr>
              <w:noBreakHyphen/>
              <w:t>5. Просмотр объяснения и корректировка плана</w:t>
            </w:r>
          </w:p>
        </w:tc>
        <w:tc>
          <w:tcPr>
            <w:tcW w:w="4989" w:type="dxa"/>
          </w:tcPr>
          <w:p w14:paraId="73F2167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</w:t>
            </w:r>
            <w:r>
              <w:rPr>
                <w:sz w:val="20"/>
              </w:rPr>
              <w:noBreakHyphen/>
              <w:t>25, FR</w:t>
            </w:r>
            <w:r>
              <w:rPr>
                <w:sz w:val="20"/>
              </w:rPr>
              <w:noBreakHyphen/>
              <w:t>29; шаг 2: FR</w:t>
            </w:r>
            <w:r>
              <w:rPr>
                <w:sz w:val="20"/>
              </w:rPr>
              <w:noBreakHyphen/>
              <w:t>23, NFR</w:t>
            </w:r>
            <w:r>
              <w:rPr>
                <w:sz w:val="20"/>
              </w:rPr>
              <w:noBreakHyphen/>
              <w:t>12, NFR</w:t>
            </w:r>
            <w:r>
              <w:rPr>
                <w:sz w:val="20"/>
              </w:rPr>
              <w:noBreakHyphen/>
              <w:t>23; шаг 3: FR</w:t>
            </w:r>
            <w:r>
              <w:rPr>
                <w:sz w:val="20"/>
              </w:rPr>
              <w:noBreakHyphen/>
              <w:t>04, FR</w:t>
            </w:r>
            <w:r>
              <w:rPr>
                <w:sz w:val="20"/>
              </w:rPr>
              <w:noBreakHyphen/>
              <w:t>26; шаг 4: FR</w:t>
            </w:r>
            <w:r>
              <w:rPr>
                <w:sz w:val="20"/>
              </w:rPr>
              <w:noBreakHyphen/>
              <w:t>26; шаг 5: FR</w:t>
            </w:r>
            <w:r>
              <w:rPr>
                <w:sz w:val="20"/>
              </w:rPr>
              <w:noBreakHyphen/>
              <w:t>26, FR</w:t>
            </w:r>
            <w:r>
              <w:rPr>
                <w:sz w:val="20"/>
              </w:rPr>
              <w:noBreakHyphen/>
              <w:t>17. Альтернативные потоки: 1: FR</w:t>
            </w:r>
            <w:r>
              <w:rPr>
                <w:sz w:val="20"/>
              </w:rPr>
              <w:noBreakHyphen/>
              <w:t>26; 2: FR</w:t>
            </w:r>
            <w:r>
              <w:rPr>
                <w:sz w:val="20"/>
              </w:rPr>
              <w:noBreakHyphen/>
              <w:t>04.</w:t>
            </w:r>
          </w:p>
        </w:tc>
        <w:tc>
          <w:tcPr>
            <w:tcW w:w="2948" w:type="dxa"/>
          </w:tcPr>
          <w:p w14:paraId="2954BD5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пять шагов и оба альтернативных потока покрыты полностью. Перенос даты следующей контрольной точки (шаг 5) закреплён только в критерии верификации FR</w:t>
            </w:r>
            <w:r>
              <w:rPr>
                <w:sz w:val="20"/>
              </w:rPr>
              <w:noBreakHyphen/>
              <w:t>26 (таблица 4).</w:t>
            </w:r>
          </w:p>
        </w:tc>
      </w:tr>
      <w:tr w:rsidR="006C1C68" w14:paraId="62C41D5D" w14:textId="77777777">
        <w:trPr>
          <w:cantSplit/>
        </w:trPr>
        <w:tc>
          <w:tcPr>
            <w:tcW w:w="2269" w:type="dxa"/>
          </w:tcPr>
          <w:p w14:paraId="41347C4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</w:t>
            </w:r>
            <w:r>
              <w:rPr>
                <w:sz w:val="20"/>
              </w:rPr>
              <w:noBreakHyphen/>
              <w:t>6. Экспорт дневника питания за период</w:t>
            </w:r>
          </w:p>
        </w:tc>
        <w:tc>
          <w:tcPr>
            <w:tcW w:w="4989" w:type="dxa"/>
          </w:tcPr>
          <w:p w14:paraId="1590A8F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</w:t>
            </w:r>
            <w:r>
              <w:rPr>
                <w:sz w:val="20"/>
              </w:rPr>
              <w:noBreakHyphen/>
              <w:t>27; шаг 2: FR</w:t>
            </w:r>
            <w:r>
              <w:rPr>
                <w:sz w:val="20"/>
              </w:rPr>
              <w:noBreakHyphen/>
              <w:t>27; шаг 3: FR</w:t>
            </w:r>
            <w:r>
              <w:rPr>
                <w:sz w:val="20"/>
              </w:rPr>
              <w:noBreakHyphen/>
              <w:t>27; шаг 4: FR</w:t>
            </w:r>
            <w:r>
              <w:rPr>
                <w:sz w:val="20"/>
              </w:rPr>
              <w:noBreakHyphen/>
              <w:t>27. Альтернативный поток 1: не обеспечен.</w:t>
            </w:r>
          </w:p>
        </w:tc>
        <w:tc>
          <w:tcPr>
            <w:tcW w:w="2948" w:type="dxa"/>
          </w:tcPr>
          <w:p w14:paraId="69AE677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четыре шага покрыты полностью. Альтернативный поток 1 (сообщение об отсутствии записей за период) и специальное требование о формировании выгрузки не более чем за 5 с в перечне не закреплены (УТ</w:t>
            </w:r>
            <w:r>
              <w:rPr>
                <w:sz w:val="20"/>
              </w:rPr>
              <w:noBreakHyphen/>
              <w:t>11).</w:t>
            </w:r>
          </w:p>
        </w:tc>
      </w:tr>
    </w:tbl>
    <w:p w14:paraId="18A77086" w14:textId="77777777" w:rsidR="00D63BE8" w:rsidRDefault="00F37FB4">
      <w:pPr>
        <w:spacing w:before="0"/>
        <w:ind w:firstLine="850"/>
      </w:pPr>
      <w:r>
        <w:t>Итого полностью обеспечены 36 из 37 шагов основных потоков, частично – 1 (UC</w:t>
      </w:r>
      <w:r>
        <w:noBreakHyphen/>
        <w:t>1, шаг 4); из 10 альтернативных потоков полностью обеспечены 9, не обеспечен – 1 (UC</w:t>
      </w:r>
      <w:r>
        <w:noBreakHyphen/>
        <w:t>6, поток 1). К шагам сценариев не привязаны пять функциональных требований: FR</w:t>
      </w:r>
      <w:r>
        <w:noBreakHyphen/>
        <w:t>05 (редактирование анкеты), FR</w:t>
      </w:r>
      <w:r>
        <w:noBreakHyphen/>
        <w:t>30 (согласие на обработку данных) и FR</w:t>
      </w:r>
      <w:r>
        <w:noBreakHyphen/>
        <w:t>31 (доступ к данным и их удаление) образуют процесс управления профилем и персональными данными, для которого нет собственного сценария, а FR</w:t>
      </w:r>
      <w:r>
        <w:noBreakHyphen/>
        <w:t>11 (копирование приёма пищи) и FR</w:t>
      </w:r>
      <w:r>
        <w:noBreakHyphen/>
        <w:t>28 (учёт воды) не отражены в UC</w:t>
      </w:r>
      <w:r>
        <w:noBreakHyphen/>
        <w:t>2. Требование FR</w:t>
      </w:r>
      <w:r>
        <w:noBreakHyphen/>
        <w:t>32 используется в шаге 6 UC</w:t>
      </w:r>
      <w:r>
        <w:noBreakHyphen/>
        <w:t>4 как источник данных, н</w:t>
      </w:r>
      <w:r>
        <w:t>о шаг ввода отметок о самочувствии в сценариях отсутствует (УТ</w:t>
      </w:r>
      <w:r>
        <w:noBreakHyphen/>
        <w:t>9). Нефункциональные требования и ограничения относятся к системе в целом и привязаны к шагам там, где они задают порог или условие выполнения шага.</w:t>
      </w:r>
    </w:p>
    <w:p w14:paraId="6A948232" w14:textId="77777777" w:rsidR="00D63BE8" w:rsidRDefault="00F37FB4">
      <w:pPr>
        <w:keepNext/>
        <w:ind w:firstLine="850"/>
      </w:pPr>
      <w:r>
        <w:rPr>
          <w:b/>
        </w:rPr>
        <w:t>3. Проверка на однозначность</w:t>
      </w:r>
    </w:p>
    <w:p w14:paraId="5E5396DF" w14:textId="77777777" w:rsidR="00D63BE8" w:rsidRDefault="00F37FB4">
      <w:pPr>
        <w:spacing w:before="0"/>
        <w:ind w:firstLine="850"/>
      </w:pPr>
      <w:r>
        <w:t>Формулировки всех 68 требований проверены на оценочные слова и неопределённые выражения. Оценочные формулировки первичного анализа получили в перечне числовые значения: порог отклонения и доля дней с записями (FR</w:t>
      </w:r>
      <w:r>
        <w:noBreakHyphen/>
        <w:t>19, FR</w:t>
      </w:r>
      <w:r>
        <w:noBreakHyphen/>
        <w:t>20), окно сглаживания веса (FR</w:t>
      </w:r>
      <w:r>
        <w:noBreakHyphen/>
        <w:t>14), границы ИМТ для дисклеймера (FR</w:t>
      </w:r>
      <w:r>
        <w:noBreakHyphen/>
        <w:t>24), время расчёта нормы и формирования объяснения (NFR</w:t>
      </w:r>
      <w:r>
        <w:noBreakHyphen/>
        <w:t>01, NFR</w:t>
      </w:r>
      <w:r>
        <w:noBreakHyphen/>
        <w:t>02), точность расчёта и классификации (NFR</w:t>
      </w:r>
      <w:r>
        <w:noBreakHyphen/>
        <w:t>14, NFR</w:t>
      </w:r>
      <w:r>
        <w:noBreakHyphen/>
        <w:t>15), сроки резервного копирования и восстановления (NFR</w:t>
      </w:r>
      <w:r>
        <w:noBreakHyphen/>
        <w:t>17). Осталось 13 мест, где значение задано диапазоном, не определены направление, состав или порядок действий либо величина приведена только в критерии верификации (таблица 4).</w:t>
      </w:r>
    </w:p>
    <w:p w14:paraId="47CFD9A1" w14:textId="77777777" w:rsidR="00D63BE8" w:rsidRDefault="00F37FB4">
      <w:pPr>
        <w:keepNext/>
        <w:spacing w:after="120" w:line="240" w:lineRule="auto"/>
        <w:ind w:firstLine="0"/>
        <w:jc w:val="left"/>
      </w:pPr>
      <w:r>
        <w:t>Таблица 4 – Уточнение неоднозначных формулировок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1420"/>
        <w:gridCol w:w="1982"/>
        <w:gridCol w:w="2835"/>
        <w:gridCol w:w="3969"/>
      </w:tblGrid>
      <w:tr w:rsidR="006C1C68" w14:paraId="2F66E4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0" w:type="dxa"/>
          </w:tcPr>
          <w:p w14:paraId="0BDCCF8E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982" w:type="dxa"/>
          </w:tcPr>
          <w:p w14:paraId="31133ACD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Формулировка</w:t>
            </w:r>
          </w:p>
        </w:tc>
        <w:tc>
          <w:tcPr>
            <w:tcW w:w="2835" w:type="dxa"/>
          </w:tcPr>
          <w:p w14:paraId="49C39780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w="3969" w:type="dxa"/>
          </w:tcPr>
          <w:p w14:paraId="6F97D8D9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Предлагаемое уточнение</w:t>
            </w:r>
          </w:p>
        </w:tc>
      </w:tr>
      <w:tr w:rsidR="006C1C68" w14:paraId="287A84DB" w14:textId="77777777">
        <w:trPr>
          <w:cantSplit/>
        </w:trPr>
        <w:tc>
          <w:tcPr>
            <w:tcW w:w="1420" w:type="dxa"/>
          </w:tcPr>
          <w:p w14:paraId="19545EA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18, FR</w:t>
            </w:r>
            <w:r>
              <w:rPr>
                <w:sz w:val="20"/>
              </w:rPr>
              <w:noBreakHyphen/>
              <w:t>19</w:t>
            </w:r>
          </w:p>
        </w:tc>
        <w:tc>
          <w:tcPr>
            <w:tcW w:w="1982" w:type="dxa"/>
          </w:tcPr>
          <w:p w14:paraId="54BF87A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«если отклонение фактической динамики от плановой превышает 0,2 кг/нед»</w:t>
            </w:r>
          </w:p>
        </w:tc>
        <w:tc>
          <w:tcPr>
            <w:tcW w:w="2835" w:type="dxa"/>
          </w:tcPr>
          <w:p w14:paraId="52C3F5D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определено направление отклонения: при снижении веса быстрее плана диагностика тоже запускается и может отнести причину к «естественному плато».</w:t>
            </w:r>
          </w:p>
        </w:tc>
        <w:tc>
          <w:tcPr>
            <w:tcW w:w="3969" w:type="dxa"/>
          </w:tcPr>
          <w:p w14:paraId="42BB5A0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Отклонением считать отставание сглаженного веса от плановой динамики в направлении цели; опережение плана диагностику не запускает (УТ</w:t>
            </w:r>
            <w:r>
              <w:rPr>
                <w:sz w:val="20"/>
              </w:rPr>
              <w:noBreakHyphen/>
              <w:t>13).</w:t>
            </w:r>
          </w:p>
        </w:tc>
      </w:tr>
      <w:tr w:rsidR="006C1C68" w14:paraId="116C1E4C" w14:textId="77777777">
        <w:trPr>
          <w:cantSplit/>
        </w:trPr>
        <w:tc>
          <w:tcPr>
            <w:tcW w:w="1420" w:type="dxa"/>
          </w:tcPr>
          <w:p w14:paraId="7F47A11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21</w:t>
            </w:r>
          </w:p>
        </w:tc>
        <w:tc>
          <w:tcPr>
            <w:tcW w:w="1982" w:type="dxa"/>
          </w:tcPr>
          <w:p w14:paraId="79FCFAC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«за последние 3–5 дней»</w:t>
            </w:r>
          </w:p>
        </w:tc>
        <w:tc>
          <w:tcPr>
            <w:tcW w:w="2835" w:type="dxa"/>
          </w:tcPr>
          <w:p w14:paraId="792C858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Период задан диапазоном: при разной реализации одни и те же данные дают разные причины.</w:t>
            </w:r>
          </w:p>
        </w:tc>
        <w:tc>
          <w:tcPr>
            <w:tcW w:w="3969" w:type="dxa"/>
          </w:tcPr>
          <w:p w14:paraId="3C0B1D3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Проверять отметки за 5 календарных дней, предшествующих контрольной точке.</w:t>
            </w:r>
          </w:p>
        </w:tc>
      </w:tr>
      <w:tr w:rsidR="006C1C68" w14:paraId="2C2E3271" w14:textId="77777777">
        <w:trPr>
          <w:cantSplit/>
        </w:trPr>
        <w:tc>
          <w:tcPr>
            <w:tcW w:w="1420" w:type="dxa"/>
          </w:tcPr>
          <w:p w14:paraId="7BD30B3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22</w:t>
            </w:r>
          </w:p>
        </w:tc>
        <w:tc>
          <w:tcPr>
            <w:tcW w:w="1982" w:type="dxa"/>
          </w:tcPr>
          <w:p w14:paraId="6A634E3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«при превышении 8–10 недель»</w:t>
            </w:r>
          </w:p>
        </w:tc>
        <w:tc>
          <w:tcPr>
            <w:tcW w:w="2835" w:type="dxa"/>
          </w:tcPr>
          <w:p w14:paraId="7EBCAE8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Порог задан диапазоном, тогда как критерий верификации использует 10 недель.</w:t>
            </w:r>
          </w:p>
        </w:tc>
        <w:tc>
          <w:tcPr>
            <w:tcW w:w="3969" w:type="dxa"/>
          </w:tcPr>
          <w:p w14:paraId="2781733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Относить причину к «вероятной метаболической адаптации» при непрерывном дефиците либо профиците более 10 недель; порядок подсчёта длительности – таблица 5, пункт 6.</w:t>
            </w:r>
          </w:p>
        </w:tc>
      </w:tr>
      <w:tr w:rsidR="006C1C68" w14:paraId="5972792C" w14:textId="77777777">
        <w:trPr>
          <w:cantSplit/>
        </w:trPr>
        <w:tc>
          <w:tcPr>
            <w:tcW w:w="1420" w:type="dxa"/>
          </w:tcPr>
          <w:p w14:paraId="0351DFA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17</w:t>
            </w:r>
          </w:p>
        </w:tc>
        <w:tc>
          <w:tcPr>
            <w:tcW w:w="1982" w:type="dxa"/>
          </w:tcPr>
          <w:p w14:paraId="76FD27B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«не реже одного раза в 2 недели»</w:t>
            </w:r>
          </w:p>
        </w:tc>
        <w:tc>
          <w:tcPr>
            <w:tcW w:w="2835" w:type="dxa"/>
          </w:tcPr>
          <w:p w14:paraId="68EA47F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определена точка отсчёта; расчётная дата, упомянутая в критерии верификации, в формулировке не задана.</w:t>
            </w:r>
          </w:p>
        </w:tc>
        <w:tc>
          <w:tcPr>
            <w:tcW w:w="3969" w:type="dxa"/>
          </w:tcPr>
          <w:p w14:paraId="7ED8AD0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Контрольная точка наступает каждые 14 суток от даты подтверждения действующего плана; при замене плана по FR</w:t>
            </w:r>
            <w:r>
              <w:rPr>
                <w:sz w:val="20"/>
              </w:rPr>
              <w:noBreakHyphen/>
              <w:t>26 отсчёт начинается заново.</w:t>
            </w:r>
          </w:p>
        </w:tc>
      </w:tr>
      <w:tr w:rsidR="006C1C68" w14:paraId="76B5E622" w14:textId="77777777">
        <w:trPr>
          <w:cantSplit/>
        </w:trPr>
        <w:tc>
          <w:tcPr>
            <w:tcW w:w="1420" w:type="dxa"/>
          </w:tcPr>
          <w:p w14:paraId="179F7D9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14, FR</w:t>
            </w:r>
            <w:r>
              <w:rPr>
                <w:sz w:val="20"/>
              </w:rPr>
              <w:noBreakHyphen/>
              <w:t>16</w:t>
            </w:r>
          </w:p>
        </w:tc>
        <w:tc>
          <w:tcPr>
            <w:tcW w:w="1982" w:type="dxa"/>
          </w:tcPr>
          <w:p w14:paraId="5CA2570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«среднее арифметическое значений за последние 7 дней»; «ИМТ = вес (кг) / рост² (м²)»</w:t>
            </w:r>
          </w:p>
        </w:tc>
        <w:tc>
          <w:tcPr>
            <w:tcW w:w="2835" w:type="dxa"/>
          </w:tcPr>
          <w:p w14:paraId="5AF0CE4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определено, как рассчитывается среднее при пропусках замеров, и какой вес – последний или сглаженный – используется для ИМТ и проверки границ FR</w:t>
            </w:r>
            <w:r>
              <w:rPr>
                <w:sz w:val="20"/>
              </w:rPr>
              <w:noBreakHyphen/>
              <w:t>24.</w:t>
            </w:r>
          </w:p>
        </w:tc>
        <w:tc>
          <w:tcPr>
            <w:tcW w:w="3969" w:type="dxa"/>
          </w:tcPr>
          <w:p w14:paraId="6327535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Среднее рассчитывать по всем замерам за 7 суток при наличии не менее 3 замеров, иначе значение не рассчитывается; ИМТ и проверку FR</w:t>
            </w:r>
            <w:r>
              <w:rPr>
                <w:sz w:val="20"/>
              </w:rPr>
              <w:noBreakHyphen/>
              <w:t>24 выполнять по сглаженному значению веса.</w:t>
            </w:r>
          </w:p>
        </w:tc>
      </w:tr>
      <w:tr w:rsidR="006C1C68" w14:paraId="7BED42A1" w14:textId="77777777">
        <w:trPr>
          <w:cantSplit/>
        </w:trPr>
        <w:tc>
          <w:tcPr>
            <w:tcW w:w="1420" w:type="dxa"/>
          </w:tcPr>
          <w:p w14:paraId="3B4A8DE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20</w:t>
            </w:r>
          </w:p>
        </w:tc>
        <w:tc>
          <w:tcPr>
            <w:tcW w:w="1982" w:type="dxa"/>
          </w:tcPr>
          <w:p w14:paraId="3632B1F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«неполное логирование»</w:t>
            </w:r>
          </w:p>
        </w:tc>
        <w:tc>
          <w:tcPr>
            <w:tcW w:w="2835" w:type="dxa"/>
          </w:tcPr>
          <w:p w14:paraId="51E1D21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 первичном анализе та же категория названа «недоучёт калорий»; доля дней с записями не выявляет систематического занижения порций.</w:t>
            </w:r>
          </w:p>
        </w:tc>
        <w:tc>
          <w:tcPr>
            <w:tcW w:w="3969" w:type="dxa"/>
          </w:tcPr>
          <w:p w14:paraId="5F452D7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Использовать название «неполное логирование» во всех документах; выявление занижения порций отнести к перспективам развития (УТ</w:t>
            </w:r>
            <w:r>
              <w:rPr>
                <w:sz w:val="20"/>
              </w:rPr>
              <w:noBreakHyphen/>
              <w:t>1).</w:t>
            </w:r>
          </w:p>
        </w:tc>
      </w:tr>
      <w:tr w:rsidR="006C1C68" w14:paraId="439C4B66" w14:textId="77777777">
        <w:trPr>
          <w:cantSplit/>
        </w:trPr>
        <w:tc>
          <w:tcPr>
            <w:tcW w:w="1420" w:type="dxa"/>
          </w:tcPr>
          <w:p w14:paraId="582220F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26</w:t>
            </w:r>
          </w:p>
        </w:tc>
        <w:tc>
          <w:tcPr>
            <w:tcW w:w="1982" w:type="dxa"/>
          </w:tcPr>
          <w:p w14:paraId="30583F2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«с учётом фактических данных за истёкший период»</w:t>
            </w:r>
          </w:p>
        </w:tc>
        <w:tc>
          <w:tcPr>
            <w:tcW w:w="2835" w:type="dxa"/>
          </w:tcPr>
          <w:p w14:paraId="447CCD8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определён способ пересчёта; перенос даты контрольной точки указан только в критерии верификации.</w:t>
            </w:r>
          </w:p>
        </w:tc>
        <w:tc>
          <w:tcPr>
            <w:tcW w:w="3969" w:type="dxa"/>
          </w:tcPr>
          <w:p w14:paraId="02E5C3F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Фактический расход энергии = среднее потребление за период − изменение сглаженного веса × 7700 / число дней; новая норма рассчитывается от него по правилам цели; после подтверждения следующая контрольная точка назначается через 14 суток.</w:t>
            </w:r>
          </w:p>
        </w:tc>
      </w:tr>
      <w:tr w:rsidR="006C1C68" w14:paraId="5AF9A128" w14:textId="77777777">
        <w:trPr>
          <w:cantSplit/>
        </w:trPr>
        <w:tc>
          <w:tcPr>
            <w:tcW w:w="1420" w:type="dxa"/>
          </w:tcPr>
          <w:p w14:paraId="5E05726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29</w:t>
            </w:r>
          </w:p>
        </w:tc>
        <w:tc>
          <w:tcPr>
            <w:tcW w:w="1982" w:type="dxa"/>
          </w:tcPr>
          <w:p w14:paraId="1201DA6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«поддерживать настраиваемые напоминания»</w:t>
            </w:r>
          </w:p>
        </w:tc>
        <w:tc>
          <w:tcPr>
            <w:tcW w:w="2835" w:type="dxa"/>
          </w:tcPr>
          <w:p w14:paraId="6C24F2E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определены настраиваемые параметры и состояние по умолчанию.</w:t>
            </w:r>
          </w:p>
        </w:tc>
        <w:tc>
          <w:tcPr>
            <w:tcW w:w="3969" w:type="dxa"/>
          </w:tcPr>
          <w:p w14:paraId="6087F61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Пользователь задаёт время и дни недели для напоминаний о внесении приёма пищи и веса; по умолчанию напоминания выключены.</w:t>
            </w:r>
          </w:p>
        </w:tc>
      </w:tr>
      <w:tr w:rsidR="006C1C68" w14:paraId="3727A900" w14:textId="77777777">
        <w:trPr>
          <w:cantSplit/>
        </w:trPr>
        <w:tc>
          <w:tcPr>
            <w:tcW w:w="1420" w:type="dxa"/>
          </w:tcPr>
          <w:p w14:paraId="35A8679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31</w:t>
            </w:r>
          </w:p>
        </w:tc>
        <w:tc>
          <w:tcPr>
            <w:tcW w:w="1982" w:type="dxa"/>
          </w:tcPr>
          <w:p w14:paraId="189A6FC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«в срок не более 3 рабочих дней с момента запроса»</w:t>
            </w:r>
          </w:p>
        </w:tc>
        <w:tc>
          <w:tcPr>
            <w:tcW w:w="2835" w:type="dxa"/>
          </w:tcPr>
          <w:p w14:paraId="77BE3AE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Срок отнесён ко всем трём действиям, хотя просмотр и изменение данных выполняются сразу.</w:t>
            </w:r>
          </w:p>
        </w:tc>
        <w:tc>
          <w:tcPr>
            <w:tcW w:w="3969" w:type="dxa"/>
          </w:tcPr>
          <w:p w14:paraId="57E63FB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Просмотр и изменение данных выполняются немедленно; удаление – не позднее 3 рабочих дней с момента запроса.</w:t>
            </w:r>
          </w:p>
        </w:tc>
      </w:tr>
      <w:tr w:rsidR="006C1C68" w14:paraId="7F5EC67D" w14:textId="77777777">
        <w:trPr>
          <w:cantSplit/>
        </w:trPr>
        <w:tc>
          <w:tcPr>
            <w:tcW w:w="1420" w:type="dxa"/>
          </w:tcPr>
          <w:p w14:paraId="078B241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04</w:t>
            </w:r>
          </w:p>
        </w:tc>
        <w:tc>
          <w:tcPr>
            <w:tcW w:w="1982" w:type="dxa"/>
          </w:tcPr>
          <w:p w14:paraId="7FF45DF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«не менее 500 одновременных запросов»</w:t>
            </w:r>
          </w:p>
        </w:tc>
        <w:tc>
          <w:tcPr>
            <w:tcW w:w="2835" w:type="dxa"/>
          </w:tcPr>
          <w:p w14:paraId="5CC4F3B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 формулировке указаны запросы, а в наименовании и критерии верификации – виртуальные пользователи.</w:t>
            </w:r>
          </w:p>
        </w:tc>
        <w:tc>
          <w:tcPr>
            <w:tcW w:w="3969" w:type="dxa"/>
          </w:tcPr>
          <w:p w14:paraId="0AC6956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Единица измерения – одновременные запросы к серверному API; в критерии верификации указать 500 одновременных запросов.</w:t>
            </w:r>
          </w:p>
        </w:tc>
      </w:tr>
      <w:tr w:rsidR="006C1C68" w14:paraId="2DF74008" w14:textId="77777777">
        <w:trPr>
          <w:cantSplit/>
        </w:trPr>
        <w:tc>
          <w:tcPr>
            <w:tcW w:w="1420" w:type="dxa"/>
          </w:tcPr>
          <w:p w14:paraId="71F1B87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06</w:t>
            </w:r>
          </w:p>
        </w:tc>
        <w:tc>
          <w:tcPr>
            <w:tcW w:w="1982" w:type="dxa"/>
          </w:tcPr>
          <w:p w14:paraId="613DE42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«просмотр, добавление и редактирование записей дневника питания при отсутствии подключения»</w:t>
            </w:r>
          </w:p>
        </w:tc>
        <w:tc>
          <w:tcPr>
            <w:tcW w:w="2835" w:type="dxa"/>
          </w:tcPr>
          <w:p w14:paraId="1E67687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определены глубина локально доступной истории и правило разрешения конфликтов при синхронизации.</w:t>
            </w:r>
          </w:p>
        </w:tc>
        <w:tc>
          <w:tcPr>
            <w:tcW w:w="3969" w:type="dxa"/>
          </w:tcPr>
          <w:p w14:paraId="001E859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Без подключения доступны записи за последние 30 суток; при конфликте сохраняется версия с более поздним временем изменения.</w:t>
            </w:r>
          </w:p>
        </w:tc>
      </w:tr>
      <w:tr w:rsidR="006C1C68" w14:paraId="5CB30A55" w14:textId="77777777">
        <w:trPr>
          <w:cantSplit/>
        </w:trPr>
        <w:tc>
          <w:tcPr>
            <w:tcW w:w="1420" w:type="dxa"/>
          </w:tcPr>
          <w:p w14:paraId="01602E6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</w:t>
            </w:r>
            <w:r>
              <w:rPr>
                <w:sz w:val="20"/>
              </w:rPr>
              <w:noBreakHyphen/>
              <w:t>04</w:t>
            </w:r>
          </w:p>
        </w:tc>
        <w:tc>
          <w:tcPr>
            <w:tcW w:w="1982" w:type="dxa"/>
          </w:tcPr>
          <w:p w14:paraId="61E0EFD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«если пользователь указал соответствующую отметку в анкете»</w:t>
            </w:r>
          </w:p>
        </w:tc>
        <w:tc>
          <w:tcPr>
            <w:tcW w:w="2835" w:type="dxa"/>
          </w:tcPr>
          <w:p w14:paraId="0D5D334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Отметки о медицинских показаниях нет ни в перечне полей FR</w:t>
            </w:r>
            <w:r>
              <w:rPr>
                <w:sz w:val="20"/>
              </w:rPr>
              <w:noBreakHyphen/>
              <w:t>02, ни на макете анкеты.</w:t>
            </w:r>
          </w:p>
        </w:tc>
        <w:tc>
          <w:tcPr>
            <w:tcW w:w="3969" w:type="dxa"/>
          </w:tcPr>
          <w:p w14:paraId="4B8587A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FR</w:t>
            </w:r>
            <w:r>
              <w:rPr>
                <w:sz w:val="20"/>
              </w:rPr>
              <w:noBreakHyphen/>
              <w:t>02 полем «медицинские показания, влияющие на обмен веществ» (да/нет) и добавить его на макет анкеты (УТ</w:t>
            </w:r>
            <w:r>
              <w:rPr>
                <w:sz w:val="20"/>
              </w:rPr>
              <w:noBreakHyphen/>
              <w:t>10).</w:t>
            </w:r>
          </w:p>
        </w:tc>
      </w:tr>
      <w:tr w:rsidR="006C1C68" w14:paraId="0482EA37" w14:textId="77777777">
        <w:trPr>
          <w:cantSplit/>
        </w:trPr>
        <w:tc>
          <w:tcPr>
            <w:tcW w:w="1420" w:type="dxa"/>
          </w:tcPr>
          <w:p w14:paraId="5BA03CD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23</w:t>
            </w:r>
          </w:p>
        </w:tc>
        <w:tc>
          <w:tcPr>
            <w:tcW w:w="1982" w:type="dxa"/>
          </w:tcPr>
          <w:p w14:paraId="2D4AD56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«на всех основных экранах»</w:t>
            </w:r>
          </w:p>
        </w:tc>
        <w:tc>
          <w:tcPr>
            <w:tcW w:w="2835" w:type="dxa"/>
          </w:tcPr>
          <w:p w14:paraId="2AE9AD5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Перечень основных экранов не определён.</w:t>
            </w:r>
          </w:p>
        </w:tc>
        <w:tc>
          <w:tcPr>
            <w:tcW w:w="3969" w:type="dxa"/>
          </w:tcPr>
          <w:p w14:paraId="61AB525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Основными считать экраны рисунков 6 – 10 ТЗ: дневник питания, добавление продукта, «Прогресс», карточку объяснения и «Профиль».</w:t>
            </w:r>
          </w:p>
        </w:tc>
      </w:tr>
    </w:tbl>
    <w:p w14:paraId="2D5FF734" w14:textId="77777777" w:rsidR="00D63BE8" w:rsidRDefault="00F37FB4">
      <w:pPr>
        <w:spacing w:before="0"/>
        <w:ind w:firstLine="850"/>
      </w:pPr>
      <w:r>
        <w:t>С учётом перечисленных замен каждое требование можно однозначно реализовать и проверить при приёмке. Остальные количественные критерии (FR</w:t>
      </w:r>
      <w:r>
        <w:noBreakHyphen/>
        <w:t>01, FR</w:t>
      </w:r>
      <w:r>
        <w:noBreakHyphen/>
        <w:t>03, FR</w:t>
      </w:r>
      <w:r>
        <w:noBreakHyphen/>
        <w:t>07, FR</w:t>
      </w:r>
      <w:r>
        <w:noBreakHyphen/>
        <w:t>08, FR</w:t>
      </w:r>
      <w:r>
        <w:noBreakHyphen/>
        <w:t>24, NFR</w:t>
      </w:r>
      <w:r>
        <w:noBreakHyphen/>
        <w:t>01 – NFR</w:t>
      </w:r>
      <w:r>
        <w:noBreakHyphen/>
        <w:t>03, NFR</w:t>
      </w:r>
      <w:r>
        <w:noBreakHyphen/>
        <w:t>05, NFR</w:t>
      </w:r>
      <w:r>
        <w:noBreakHyphen/>
        <w:t>11, NFR</w:t>
      </w:r>
      <w:r>
        <w:noBreakHyphen/>
        <w:t>14, NFR</w:t>
      </w:r>
      <w:r>
        <w:noBreakHyphen/>
        <w:t>15, NFR</w:t>
      </w:r>
      <w:r>
        <w:noBreakHyphen/>
        <w:t>17) уточнений не требуют.</w:t>
      </w:r>
    </w:p>
    <w:p w14:paraId="559B5AB5" w14:textId="77777777" w:rsidR="00D63BE8" w:rsidRDefault="00F37FB4">
      <w:pPr>
        <w:keepNext/>
        <w:ind w:firstLine="850"/>
      </w:pPr>
      <w:r>
        <w:rPr>
          <w:b/>
        </w:rPr>
        <w:t>4. Проверка на непротиворечивость</w:t>
      </w:r>
    </w:p>
    <w:p w14:paraId="43F3C345" w14:textId="77777777" w:rsidR="00D63BE8" w:rsidRDefault="00F37FB4">
      <w:pPr>
        <w:spacing w:before="0"/>
        <w:ind w:firstLine="850"/>
      </w:pPr>
      <w:r>
        <w:t>Требования, затрагивающие одну функцию или одну характеристику системы, проверены на возможность одновременного выполнения. Групп требований, которые нельзя выполнить вместе, не найдено; выявлено десять мест, где требования могут вступить в конфликт при реализации (таблица 5).</w:t>
      </w:r>
    </w:p>
    <w:p w14:paraId="79970F05" w14:textId="77777777" w:rsidR="00D63BE8" w:rsidRDefault="00F37FB4">
      <w:pPr>
        <w:keepNext/>
        <w:spacing w:after="120" w:line="240" w:lineRule="auto"/>
        <w:ind w:firstLine="0"/>
        <w:jc w:val="left"/>
      </w:pPr>
      <w:r>
        <w:t>Таблица 5 – Проверка непротиворечивости требований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510"/>
        <w:gridCol w:w="1757"/>
        <w:gridCol w:w="3686"/>
        <w:gridCol w:w="4253"/>
      </w:tblGrid>
      <w:tr w:rsidR="006C1C68" w14:paraId="00EBCB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332834AB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757" w:type="dxa"/>
          </w:tcPr>
          <w:p w14:paraId="287955B8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Группа требований</w:t>
            </w:r>
          </w:p>
        </w:tc>
        <w:tc>
          <w:tcPr>
            <w:tcW w:w="3686" w:type="dxa"/>
          </w:tcPr>
          <w:p w14:paraId="51DA4644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Потенциальное противоречие</w:t>
            </w:r>
          </w:p>
        </w:tc>
        <w:tc>
          <w:tcPr>
            <w:tcW w:w="4253" w:type="dxa"/>
          </w:tcPr>
          <w:p w14:paraId="3DC6710D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Стратегия разрешения</w:t>
            </w:r>
          </w:p>
        </w:tc>
      </w:tr>
      <w:tr w:rsidR="006C1C68" w14:paraId="1C9D618A" w14:textId="77777777">
        <w:trPr>
          <w:cantSplit/>
        </w:trPr>
        <w:tc>
          <w:tcPr>
            <w:tcW w:w="510" w:type="dxa"/>
          </w:tcPr>
          <w:p w14:paraId="70DB73F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57" w:type="dxa"/>
          </w:tcPr>
          <w:p w14:paraId="2DFBDA0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31 и NFR</w:t>
            </w:r>
            <w:r>
              <w:rPr>
                <w:sz w:val="20"/>
              </w:rPr>
              <w:noBreakHyphen/>
              <w:t>17</w:t>
            </w:r>
          </w:p>
        </w:tc>
        <w:tc>
          <w:tcPr>
            <w:tcW w:w="3686" w:type="dxa"/>
          </w:tcPr>
          <w:p w14:paraId="31E88FD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Удаление данных по запросу выполняется не позднее 3 рабочих дней, а резервные копии хранятся не менее 7 суток: удалённые данные остаются в копиях и могут вернуться при восстановлении.</w:t>
            </w:r>
          </w:p>
        </w:tc>
        <w:tc>
          <w:tcPr>
            <w:tcW w:w="4253" w:type="dxa"/>
          </w:tcPr>
          <w:p w14:paraId="41E22B2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Срок хранения резервных копий фиксируется равным 7 суткам, по истечении которых копии удаляются автоматически; идентификаторы удалённых учётных записей ведутся в журнале удалений, который повторно применяется после любого восстановления из копии. Порядок указывается в политике обработки персональных данных.</w:t>
            </w:r>
          </w:p>
        </w:tc>
      </w:tr>
      <w:tr w:rsidR="006C1C68" w14:paraId="541B22DF" w14:textId="77777777">
        <w:trPr>
          <w:cantSplit/>
        </w:trPr>
        <w:tc>
          <w:tcPr>
            <w:tcW w:w="510" w:type="dxa"/>
          </w:tcPr>
          <w:p w14:paraId="5CB3A8B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757" w:type="dxa"/>
          </w:tcPr>
          <w:p w14:paraId="735CA6E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31 и FR</w:t>
            </w:r>
            <w:r>
              <w:rPr>
                <w:sz w:val="20"/>
              </w:rPr>
              <w:noBreakHyphen/>
              <w:t>30, NFR</w:t>
            </w:r>
            <w:r>
              <w:rPr>
                <w:sz w:val="20"/>
              </w:rPr>
              <w:noBreakHyphen/>
              <w:t>13, NFR</w:t>
            </w:r>
            <w:r>
              <w:rPr>
                <w:sz w:val="20"/>
              </w:rPr>
              <w:noBreakHyphen/>
              <w:t>21</w:t>
            </w:r>
          </w:p>
        </w:tc>
        <w:tc>
          <w:tcPr>
            <w:tcW w:w="3686" w:type="dxa"/>
          </w:tcPr>
          <w:p w14:paraId="447B189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Удаление учётной записи со связанными данными расходится с хранением факта согласия, оснований диагностики и журналов работы системы.</w:t>
            </w:r>
          </w:p>
        </w:tc>
        <w:tc>
          <w:tcPr>
            <w:tcW w:w="4253" w:type="dxa"/>
          </w:tcPr>
          <w:p w14:paraId="416B800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Приоритет обязанностей оператора: факт согласия и записи журналов сохраняются в течение срока, установленного политикой обработки персональных данных, с заменой персональных данных обезличенным идентификатором; основания диагностики удаляются вместе с учётной записью.</w:t>
            </w:r>
          </w:p>
        </w:tc>
      </w:tr>
      <w:tr w:rsidR="006C1C68" w14:paraId="029C3B08" w14:textId="77777777">
        <w:trPr>
          <w:cantSplit/>
        </w:trPr>
        <w:tc>
          <w:tcPr>
            <w:tcW w:w="510" w:type="dxa"/>
          </w:tcPr>
          <w:p w14:paraId="3015A3C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757" w:type="dxa"/>
          </w:tcPr>
          <w:p w14:paraId="49399A5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</w:t>
            </w:r>
            <w:r>
              <w:rPr>
                <w:sz w:val="20"/>
              </w:rPr>
              <w:noBreakHyphen/>
              <w:t>06 и границы системы, перспективы развития ТЗ</w:t>
            </w:r>
          </w:p>
        </w:tc>
        <w:tc>
          <w:tcPr>
            <w:tcW w:w="3686" w:type="dxa"/>
          </w:tcPr>
          <w:p w14:paraId="41E284D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06 с приоритетом Must Have регулирует передачу данных диетологу при эскалации, тогда как эскалация и консультации с диетологом в текущую версию не входят; критерий «в интерфейсе эскалации отсутствуют поля…» при приёмке проверить нельзя.</w:t>
            </w:r>
          </w:p>
        </w:tc>
        <w:tc>
          <w:tcPr>
            <w:tcW w:w="4253" w:type="dxa"/>
          </w:tcPr>
          <w:p w14:paraId="2A0E533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Ограничение сохраняется как условие для будущей функции; критерий верификации для текущей версии: система не передаёт данные пользователей третьим лицам, функции эскалации нет. При реализации эскалации критерий возвращается к проверке её интерфейса.</w:t>
            </w:r>
          </w:p>
        </w:tc>
      </w:tr>
      <w:tr w:rsidR="006C1C68" w14:paraId="7CF808EE" w14:textId="77777777">
        <w:trPr>
          <w:cantSplit/>
        </w:trPr>
        <w:tc>
          <w:tcPr>
            <w:tcW w:w="510" w:type="dxa"/>
          </w:tcPr>
          <w:p w14:paraId="3E915CA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757" w:type="dxa"/>
          </w:tcPr>
          <w:p w14:paraId="699C35B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23, FR</w:t>
            </w:r>
            <w:r>
              <w:rPr>
                <w:sz w:val="20"/>
              </w:rPr>
              <w:noBreakHyphen/>
              <w:t>24 и CON</w:t>
            </w:r>
            <w:r>
              <w:rPr>
                <w:sz w:val="20"/>
              </w:rPr>
              <w:noBreakHyphen/>
              <w:t>01, CON</w:t>
            </w:r>
            <w:r>
              <w:rPr>
                <w:sz w:val="20"/>
              </w:rPr>
              <w:noBreakHyphen/>
              <w:t>03</w:t>
            </w:r>
          </w:p>
        </w:tc>
        <w:tc>
          <w:tcPr>
            <w:tcW w:w="3686" w:type="dxa"/>
          </w:tcPr>
          <w:p w14:paraId="28C6273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 ИМТ ниже 18,5 система добавляет дисклеймер, но может сформировать рекомендацию сохранить или усилить дефицит калорий, что расходится с CON</w:t>
            </w:r>
            <w:r>
              <w:rPr>
                <w:sz w:val="20"/>
              </w:rPr>
              <w:noBreakHyphen/>
              <w:t>01: при выходе показателей за границы нормы система ограничивается рекомендацией обратиться к специалисту.</w:t>
            </w:r>
          </w:p>
        </w:tc>
        <w:tc>
          <w:tcPr>
            <w:tcW w:w="4253" w:type="dxa"/>
          </w:tcPr>
          <w:p w14:paraId="54DB527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 ИМТ ниже 18,5 рекомендации, направленные на дальнейшее снижение веса, не формируются: объяснение содержит причину, дисклеймер и рекомендацию обратиться к врачу или диетологу (УТ</w:t>
            </w:r>
            <w:r>
              <w:rPr>
                <w:sz w:val="20"/>
              </w:rPr>
              <w:noBreakHyphen/>
              <w:t>7).</w:t>
            </w:r>
          </w:p>
        </w:tc>
      </w:tr>
      <w:tr w:rsidR="006C1C68" w14:paraId="2D2AAF84" w14:textId="77777777">
        <w:trPr>
          <w:cantSplit/>
        </w:trPr>
        <w:tc>
          <w:tcPr>
            <w:tcW w:w="510" w:type="dxa"/>
          </w:tcPr>
          <w:p w14:paraId="527B80E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757" w:type="dxa"/>
          </w:tcPr>
          <w:p w14:paraId="670D143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04 и FR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03, ограничения первичного анализа</w:t>
            </w:r>
          </w:p>
        </w:tc>
        <w:tc>
          <w:tcPr>
            <w:tcW w:w="3686" w:type="dxa"/>
          </w:tcPr>
          <w:p w14:paraId="7BCDEE0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Ручная корректировка позволяет задать любую норму калорий, в том числе ниже основного обмена, что противоречит разделу «Этические и правовые ограничения» первичного анализа о вреде для пользователей с риском расстройств пищевого поведения.</w:t>
            </w:r>
          </w:p>
        </w:tc>
        <w:tc>
          <w:tcPr>
            <w:tcW w:w="4253" w:type="dxa"/>
          </w:tcPr>
          <w:p w14:paraId="26307CA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Норма, введённая вручную, не может быть ниже основного обмена пользователя по FR</w:t>
            </w:r>
            <w:r>
              <w:rPr>
                <w:sz w:val="20"/>
              </w:rPr>
              <w:noBreakHyphen/>
              <w:t>03; при вводе меньшего значения выводится предупреждение и сохраняется минимально допустимое значение (УТ</w:t>
            </w:r>
            <w:r>
              <w:rPr>
                <w:sz w:val="20"/>
              </w:rPr>
              <w:noBreakHyphen/>
              <w:t>7).</w:t>
            </w:r>
          </w:p>
        </w:tc>
      </w:tr>
      <w:tr w:rsidR="006C1C68" w14:paraId="40FBA384" w14:textId="77777777">
        <w:trPr>
          <w:cantSplit/>
        </w:trPr>
        <w:tc>
          <w:tcPr>
            <w:tcW w:w="510" w:type="dxa"/>
          </w:tcPr>
          <w:p w14:paraId="599C322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1757" w:type="dxa"/>
          </w:tcPr>
          <w:p w14:paraId="583D85F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22 и FR</w:t>
            </w:r>
            <w:r>
              <w:rPr>
                <w:sz w:val="20"/>
              </w:rPr>
              <w:noBreakHyphen/>
              <w:t>04, FR</w:t>
            </w:r>
            <w:r>
              <w:rPr>
                <w:sz w:val="20"/>
              </w:rPr>
              <w:noBreakHyphen/>
              <w:t>26</w:t>
            </w:r>
          </w:p>
        </w:tc>
        <w:tc>
          <w:tcPr>
            <w:tcW w:w="3686" w:type="dxa"/>
          </w:tcPr>
          <w:p w14:paraId="4B48651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определено, сохраняется ли длительность «непрерывного соблюдения дефицита» при замене плана: если пересчёт обнуляет отсчёт, метаболическая адаптация не будет диагностирована у пользователя, регулярно пересчитывающего план.</w:t>
            </w:r>
          </w:p>
        </w:tc>
        <w:tc>
          <w:tcPr>
            <w:tcW w:w="4253" w:type="dxa"/>
          </w:tcPr>
          <w:p w14:paraId="335AE47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Длительность считается с даты начала дефицита (профицита) независимо от изменения величины нормы; отсчёт начинается заново только при смене цели или перерыве в ведении дневника более 14 суток.</w:t>
            </w:r>
          </w:p>
        </w:tc>
      </w:tr>
      <w:tr w:rsidR="006C1C68" w14:paraId="57A8AF28" w14:textId="77777777">
        <w:trPr>
          <w:cantSplit/>
        </w:trPr>
        <w:tc>
          <w:tcPr>
            <w:tcW w:w="510" w:type="dxa"/>
          </w:tcPr>
          <w:p w14:paraId="10BCC33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1757" w:type="dxa"/>
          </w:tcPr>
          <w:p w14:paraId="3499DAA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20 и NFR</w:t>
            </w:r>
            <w:r>
              <w:rPr>
                <w:sz w:val="20"/>
              </w:rPr>
              <w:noBreakHyphen/>
              <w:t>06</w:t>
            </w:r>
          </w:p>
        </w:tc>
        <w:tc>
          <w:tcPr>
            <w:tcW w:w="3686" w:type="dxa"/>
          </w:tcPr>
          <w:p w14:paraId="0D6682C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Записи, внесённые без подключения и ещё не синхронизированные, на контрольной точке отсутствуют на сервере, что даёт ложную причину «неполное логирование».</w:t>
            </w:r>
          </w:p>
        </w:tc>
        <w:tc>
          <w:tcPr>
            <w:tcW w:w="4253" w:type="dxa"/>
          </w:tcPr>
          <w:p w14:paraId="30B2D52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Диагностика выполняется по данным, синхронизированным на момент контрольной точки; если в течение 24 часов после неё поступают записи за проверяемый период, диагностика повторяется, а объяснение обновляется с пометкой в истории объяснений.</w:t>
            </w:r>
          </w:p>
        </w:tc>
      </w:tr>
      <w:tr w:rsidR="006C1C68" w14:paraId="2E0618C5" w14:textId="77777777">
        <w:trPr>
          <w:cantSplit/>
        </w:trPr>
        <w:tc>
          <w:tcPr>
            <w:tcW w:w="510" w:type="dxa"/>
          </w:tcPr>
          <w:p w14:paraId="7D5477E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757" w:type="dxa"/>
          </w:tcPr>
          <w:p w14:paraId="2C87F79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04 и CON</w:t>
            </w:r>
            <w:r>
              <w:rPr>
                <w:sz w:val="20"/>
              </w:rPr>
              <w:noBreakHyphen/>
              <w:t>08, FR</w:t>
            </w:r>
            <w:r>
              <w:rPr>
                <w:sz w:val="20"/>
              </w:rPr>
              <w:noBreakHyphen/>
              <w:t>06, FR</w:t>
            </w:r>
            <w:r>
              <w:rPr>
                <w:sz w:val="20"/>
              </w:rPr>
              <w:noBreakHyphen/>
              <w:t>07</w:t>
            </w:r>
          </w:p>
        </w:tc>
        <w:tc>
          <w:tcPr>
            <w:tcW w:w="3686" w:type="dxa"/>
          </w:tcPr>
          <w:p w14:paraId="7732114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Обслуживание 500 одновременных запросов может превысить лимит бесплатного тарифа внешнего источника базы продуктов.</w:t>
            </w:r>
          </w:p>
        </w:tc>
        <w:tc>
          <w:tcPr>
            <w:tcW w:w="4253" w:type="dxa"/>
          </w:tcPr>
          <w:p w14:paraId="56CDBE3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Найденные карточки продуктов кэшируются средством кэширования и сохраняются в базе данных системы; повторный запрос к внешнему источнику выполняется только по истечении срока записи кэша. При исчерпании лимита система работает в режиме ограниченной работоспособности по NFR</w:t>
            </w:r>
            <w:r>
              <w:rPr>
                <w:sz w:val="20"/>
              </w:rPr>
              <w:noBreakHyphen/>
              <w:t>18; прогноз нагрузки выполняется по критерию CON</w:t>
            </w:r>
            <w:r>
              <w:rPr>
                <w:sz w:val="20"/>
              </w:rPr>
              <w:noBreakHyphen/>
              <w:t>08.</w:t>
            </w:r>
          </w:p>
        </w:tc>
      </w:tr>
      <w:tr w:rsidR="006C1C68" w14:paraId="7ADE3A60" w14:textId="77777777">
        <w:trPr>
          <w:cantSplit/>
        </w:trPr>
        <w:tc>
          <w:tcPr>
            <w:tcW w:w="510" w:type="dxa"/>
          </w:tcPr>
          <w:p w14:paraId="3AF1158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1757" w:type="dxa"/>
          </w:tcPr>
          <w:p w14:paraId="4DD3E5B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19 и первичное требование 2 первичного анализа</w:t>
            </w:r>
          </w:p>
        </w:tc>
        <w:tc>
          <w:tcPr>
            <w:tcW w:w="3686" w:type="dxa"/>
          </w:tcPr>
          <w:p w14:paraId="551F5E4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Первичный анализ предусматривает реакцию на отклонение «за 2 недели подряд», а FR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19 – на протяжении 2 контрольных точек подряд, то есть не ранее чем через 4 недели после начала плана.</w:t>
            </w:r>
          </w:p>
        </w:tc>
        <w:tc>
          <w:tcPr>
            <w:tcW w:w="4253" w:type="dxa"/>
          </w:tcPr>
          <w:p w14:paraId="2F701B9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Сохранить формулировку FR</w:t>
            </w:r>
            <w:r>
              <w:rPr>
                <w:sz w:val="20"/>
              </w:rPr>
              <w:noBreakHyphen/>
              <w:t>19 как более устойчивую к краткосрочным колебаниям веса; первичное требование привести в соответствие с FR</w:t>
            </w:r>
            <w:r>
              <w:rPr>
                <w:sz w:val="20"/>
              </w:rPr>
              <w:noBreakHyphen/>
              <w:t>19 при обновлении первичного анализа (УТ</w:t>
            </w:r>
            <w:r>
              <w:rPr>
                <w:sz w:val="20"/>
              </w:rPr>
              <w:noBreakHyphen/>
              <w:t>1).</w:t>
            </w:r>
          </w:p>
        </w:tc>
      </w:tr>
      <w:tr w:rsidR="006C1C68" w14:paraId="5609DAC6" w14:textId="77777777">
        <w:trPr>
          <w:cantSplit/>
        </w:trPr>
        <w:tc>
          <w:tcPr>
            <w:tcW w:w="510" w:type="dxa"/>
          </w:tcPr>
          <w:p w14:paraId="3A7277A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757" w:type="dxa"/>
          </w:tcPr>
          <w:p w14:paraId="54640D9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29 и FR</w:t>
            </w:r>
            <w:r>
              <w:rPr>
                <w:sz w:val="20"/>
              </w:rPr>
              <w:noBreakHyphen/>
              <w:t>17</w:t>
            </w:r>
          </w:p>
        </w:tc>
        <w:tc>
          <w:tcPr>
            <w:tcW w:w="3686" w:type="dxa"/>
          </w:tcPr>
          <w:p w14:paraId="1D6B2DB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Контрольная точка, наступившая в произвольное время суток, приводит к push-уведомлению в ночное время, а FR</w:t>
            </w:r>
            <w:r>
              <w:rPr>
                <w:sz w:val="20"/>
              </w:rPr>
              <w:noBreakHyphen/>
              <w:t>29 требует отправить уведомление не позднее 5 с после формирования объяснения.</w:t>
            </w:r>
          </w:p>
        </w:tc>
        <w:tc>
          <w:tcPr>
            <w:tcW w:w="4253" w:type="dxa"/>
          </w:tcPr>
          <w:p w14:paraId="33C635C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Планировщик запускает диагностику в 09:00 по часовому поясу пользователя в день контрольной точки, поэтому уведомление отправляется сразу после формирования объяснения и приходится на дневное время.</w:t>
            </w:r>
          </w:p>
        </w:tc>
      </w:tr>
    </w:tbl>
    <w:p w14:paraId="531AC2B5" w14:textId="77777777" w:rsidR="00D63BE8" w:rsidRDefault="00F37FB4">
      <w:pPr>
        <w:spacing w:before="0"/>
        <w:ind w:firstLine="850"/>
      </w:pPr>
      <w:r>
        <w:t>При соблюдении указанных стратегий конфликты снимаются. Особого внимания требуют три вопроса: сохранность удалённых данных в резервных копиях, защита пользователей с низким ИМТ и ограничение нормы, введённой вручную, а также подсчёт длительности дефицита при пересчёте плана. Противоречия, выявленные ранее, устранены при синхронизации документов: исключено хранение паролей при входе по одноразовому коду (NFR</w:t>
      </w:r>
      <w:r>
        <w:noBreakHyphen/>
        <w:t>08), согласована минимальная версия Android (NFR</w:t>
      </w:r>
      <w:r>
        <w:noBreakHyphen/>
        <w:t>16), категории нефункциональных требований приведены к ГОСТ Р ИСО/МЭК 25010-2015. Остальные проверенные группы требований совместимы: NFR</w:t>
      </w:r>
      <w:r>
        <w:noBreakHyphen/>
        <w:t>09 и FR</w:t>
      </w:r>
      <w:r>
        <w:noBreakHyphen/>
        <w:t>20 – FR</w:t>
      </w:r>
      <w:r>
        <w:noBreakHyphen/>
        <w:t>22 (данные о здоровье расшифровываются на сервере только при выполнении диагностики, что укладывается в 3 с по NFR</w:t>
      </w:r>
      <w:r>
        <w:noBreakHyphen/>
        <w:t>02), FR</w:t>
      </w:r>
      <w:r>
        <w:noBreakHyphen/>
        <w:t>01 и NFR</w:t>
      </w:r>
      <w:r>
        <w:noBreakHyphen/>
        <w:t>11 (паролей нет, хранится только хеш одноразового кода), FR</w:t>
      </w:r>
      <w:r>
        <w:noBreakHyphen/>
        <w:t>12 и CON</w:t>
      </w:r>
      <w:r>
        <w:noBreakHyphen/>
        <w:t>07 (карточка, созданная пользователем, помечается как пользовательская и не выдаётся за данные внешнего ист</w:t>
      </w:r>
      <w:r>
        <w:t>очника), FR</w:t>
      </w:r>
      <w:r>
        <w:noBreakHyphen/>
        <w:t>27 и NFR</w:t>
      </w:r>
      <w:r>
        <w:noBreakHyphen/>
        <w:t>10 (файл выгрузки формируется только для владельца данных), FR</w:t>
      </w:r>
      <w:r>
        <w:noBreakHyphen/>
        <w:t>25 и NFR</w:t>
      </w:r>
      <w:r>
        <w:noBreakHyphen/>
        <w:t>10 (история объяснений доступна только владельцу).</w:t>
      </w:r>
    </w:p>
    <w:p w14:paraId="44AC7F5B" w14:textId="77777777" w:rsidR="00D63BE8" w:rsidRDefault="00F37FB4">
      <w:pPr>
        <w:keepNext/>
        <w:ind w:firstLine="850"/>
      </w:pPr>
      <w:r>
        <w:rPr>
          <w:b/>
        </w:rPr>
        <w:t>5. Требования, подлежащие уточнению</w:t>
      </w:r>
    </w:p>
    <w:p w14:paraId="289EAB97" w14:textId="77777777" w:rsidR="00D63BE8" w:rsidRDefault="00F37FB4">
      <w:pPr>
        <w:spacing w:before="0"/>
        <w:ind w:firstLine="850"/>
      </w:pPr>
      <w:r>
        <w:t>Перечисленные ниже пункты не мешают реализации основных функций системы, но их следует закрыть до утверждения комплекса документов. После согласования изменения вносятся одновременно в документ «Классификация и формализация требований» и в техническое задание, а при необходимости – в «Сценарии использования системы» и «Первичный анализ продукта».</w:t>
      </w:r>
    </w:p>
    <w:p w14:paraId="6A29780D" w14:textId="77777777" w:rsidR="00D63BE8" w:rsidRDefault="00F37FB4">
      <w:pPr>
        <w:keepNext/>
        <w:spacing w:after="120" w:line="240" w:lineRule="auto"/>
        <w:ind w:firstLine="0"/>
        <w:jc w:val="left"/>
      </w:pPr>
      <w:r>
        <w:t>Таблица 6 – Требования, подлежащие уточнению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2268"/>
        <w:gridCol w:w="5330"/>
      </w:tblGrid>
      <w:tr w:rsidR="006C1C68" w14:paraId="605E9D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53EF6D67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28" w:type="dxa"/>
          </w:tcPr>
          <w:p w14:paraId="2344EABA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подлежит уточнению</w:t>
            </w:r>
          </w:p>
        </w:tc>
        <w:tc>
          <w:tcPr>
            <w:tcW w:w="2268" w:type="dxa"/>
          </w:tcPr>
          <w:p w14:paraId="25EDA109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Связь с перечнем и документом</w:t>
            </w:r>
          </w:p>
        </w:tc>
        <w:tc>
          <w:tcPr>
            <w:tcW w:w="5330" w:type="dxa"/>
          </w:tcPr>
          <w:p w14:paraId="2847AA57" w14:textId="77777777" w:rsidR="006C1C68" w:rsidRDefault="00F37FB4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Предлагаемая формулировка или порядок уточнения</w:t>
            </w:r>
          </w:p>
        </w:tc>
      </w:tr>
      <w:tr w:rsidR="006C1C68" w14:paraId="23382F17" w14:textId="77777777">
        <w:trPr>
          <w:cantSplit/>
        </w:trPr>
        <w:tc>
          <w:tcPr>
            <w:tcW w:w="680" w:type="dxa"/>
          </w:tcPr>
          <w:p w14:paraId="28D8A54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1</w:t>
            </w:r>
          </w:p>
        </w:tc>
        <w:tc>
          <w:tcPr>
            <w:tcW w:w="1928" w:type="dxa"/>
          </w:tcPr>
          <w:p w14:paraId="1A496C8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Стейкхолдеры и формулировки, отсутствующие в первичном анализе</w:t>
            </w:r>
          </w:p>
        </w:tc>
        <w:tc>
          <w:tcPr>
            <w:tcW w:w="2268" w:type="dxa"/>
          </w:tcPr>
          <w:p w14:paraId="0DD59226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Графа «Источник» перечня; FR</w:t>
            </w:r>
            <w:r>
              <w:rPr>
                <w:sz w:val="20"/>
              </w:rPr>
              <w:noBreakHyphen/>
              <w:t>19, FR</w:t>
            </w:r>
            <w:r>
              <w:rPr>
                <w:sz w:val="20"/>
              </w:rPr>
              <w:noBreakHyphen/>
              <w:t>20 / раздел 3 первичного анализа</w:t>
            </w:r>
          </w:p>
        </w:tc>
        <w:tc>
          <w:tcPr>
            <w:tcW w:w="5330" w:type="dxa"/>
          </w:tcPr>
          <w:p w14:paraId="55546F2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раздел 3 первичного анализа стейкхолдерами StH</w:t>
            </w:r>
            <w:r>
              <w:rPr>
                <w:sz w:val="20"/>
              </w:rPr>
              <w:noBreakHyphen/>
              <w:t>04 (диетолог-эксперт), StH</w:t>
            </w:r>
            <w:r>
              <w:rPr>
                <w:sz w:val="20"/>
              </w:rPr>
              <w:noBreakHyphen/>
              <w:t>05 (регулятор в области защиты персональных данных) и StH</w:t>
            </w:r>
            <w:r>
              <w:rPr>
                <w:sz w:val="20"/>
              </w:rPr>
              <w:noBreakHyphen/>
              <w:t>06 (поставщик базы данных продуктов) с их пользовательскими историями; привести первичное требование 2 к формулировке FR</w:t>
            </w:r>
            <w:r>
              <w:rPr>
                <w:sz w:val="20"/>
              </w:rPr>
              <w:noBreakHyphen/>
              <w:t>19 (таблица 5, пункт 9), а название категории «недоучёт калорий» – к «неполное логирование».</w:t>
            </w:r>
          </w:p>
        </w:tc>
      </w:tr>
      <w:tr w:rsidR="006C1C68" w14:paraId="55BAE5F8" w14:textId="77777777">
        <w:trPr>
          <w:cantSplit/>
        </w:trPr>
        <w:tc>
          <w:tcPr>
            <w:tcW w:w="680" w:type="dxa"/>
          </w:tcPr>
          <w:p w14:paraId="3D7340A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2</w:t>
            </w:r>
          </w:p>
        </w:tc>
        <w:tc>
          <w:tcPr>
            <w:tcW w:w="1928" w:type="dxa"/>
          </w:tcPr>
          <w:p w14:paraId="0983079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Метрики удержания и статистика причин</w:t>
            </w:r>
          </w:p>
        </w:tc>
        <w:tc>
          <w:tcPr>
            <w:tcW w:w="2268" w:type="dxa"/>
          </w:tcPr>
          <w:p w14:paraId="02C771B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02 / цель системы в первичном анализе</w:t>
            </w:r>
          </w:p>
        </w:tc>
        <w:tc>
          <w:tcPr>
            <w:tcW w:w="5330" w:type="dxa"/>
          </w:tcPr>
          <w:p w14:paraId="386354D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Добавить требование (Could Have): система собирает обезличенные показатели – долю пользователей, продолжающих вести дневник через 8 недель, распределение диагностированных причин по категориям и долю отклонений, сопровождённых объяснением в течение 24 часов после контрольной точки, – и отображает их владельцу продукта.</w:t>
            </w:r>
          </w:p>
        </w:tc>
      </w:tr>
      <w:tr w:rsidR="006C1C68" w14:paraId="1B33E468" w14:textId="77777777">
        <w:trPr>
          <w:cantSplit/>
        </w:trPr>
        <w:tc>
          <w:tcPr>
            <w:tcW w:w="680" w:type="dxa"/>
          </w:tcPr>
          <w:p w14:paraId="7E15437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3</w:t>
            </w:r>
          </w:p>
        </w:tc>
        <w:tc>
          <w:tcPr>
            <w:tcW w:w="1928" w:type="dxa"/>
          </w:tcPr>
          <w:p w14:paraId="10CA2D6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Ведение правил диагностики</w:t>
            </w:r>
          </w:p>
        </w:tc>
        <w:tc>
          <w:tcPr>
            <w:tcW w:w="2268" w:type="dxa"/>
          </w:tcPr>
          <w:p w14:paraId="373CCE51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13, FR</w:t>
            </w:r>
            <w:r>
              <w:rPr>
                <w:sz w:val="20"/>
              </w:rPr>
              <w:noBreakHyphen/>
              <w:t>19 – FR</w:t>
            </w:r>
            <w:r>
              <w:rPr>
                <w:sz w:val="20"/>
              </w:rPr>
              <w:noBreakHyphen/>
              <w:t>22, FR</w:t>
            </w:r>
            <w:r>
              <w:rPr>
                <w:sz w:val="20"/>
              </w:rPr>
              <w:noBreakHyphen/>
              <w:t>24 / StH</w:t>
            </w:r>
            <w:r>
              <w:rPr>
                <w:sz w:val="20"/>
              </w:rPr>
              <w:noBreakHyphen/>
              <w:t>02 – StH</w:t>
            </w:r>
            <w:r>
              <w:rPr>
                <w:sz w:val="20"/>
              </w:rPr>
              <w:noBreakHyphen/>
              <w:t>04</w:t>
            </w:r>
          </w:p>
        </w:tc>
        <w:tc>
          <w:tcPr>
            <w:tcW w:w="5330" w:type="dxa"/>
          </w:tcPr>
          <w:p w14:paraId="32C3C39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Добавить требование (Should Have): пороговые значения правил (0,2 кг/нед, 80 %, 5 дней, 10 недель, границы ИМТ) хранятся в конфигурации серверной части с номером версии и изменяются оператором без выпуска новой версии приложения; эксперту доступна выгрузка оснований диагностики с указанием версии правил.</w:t>
            </w:r>
          </w:p>
        </w:tc>
      </w:tr>
      <w:tr w:rsidR="006C1C68" w14:paraId="3302C959" w14:textId="77777777">
        <w:trPr>
          <w:cantSplit/>
        </w:trPr>
        <w:tc>
          <w:tcPr>
            <w:tcW w:w="680" w:type="dxa"/>
          </w:tcPr>
          <w:p w14:paraId="30CE2E1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4</w:t>
            </w:r>
          </w:p>
        </w:tc>
        <w:tc>
          <w:tcPr>
            <w:tcW w:w="1928" w:type="dxa"/>
          </w:tcPr>
          <w:p w14:paraId="70CC018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Учёт физической активности и интеграция с трекерами</w:t>
            </w:r>
          </w:p>
        </w:tc>
        <w:tc>
          <w:tcPr>
            <w:tcW w:w="2268" w:type="dxa"/>
          </w:tcPr>
          <w:p w14:paraId="5D645118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</w:t>
            </w:r>
            <w:r>
              <w:rPr>
                <w:sz w:val="20"/>
              </w:rPr>
              <w:noBreakHyphen/>
              <w:t>01, StH</w:t>
            </w:r>
            <w:r>
              <w:rPr>
                <w:sz w:val="20"/>
              </w:rPr>
              <w:noBreakHyphen/>
              <w:t>03 / границы системы первичного анализа; «Перспективы развития» ТЗ</w:t>
            </w:r>
          </w:p>
        </w:tc>
        <w:tc>
          <w:tcPr>
            <w:tcW w:w="5330" w:type="dxa"/>
          </w:tcPr>
          <w:p w14:paraId="6C87DBA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Согласовать с владельцем продукта: исключить трекинг активности и интеграцию с трекерами из границ первичного анализа, поскольку в ТЗ они отнесены к перспективам развития, либо добавить требование на ручной ввод уровня активности за день с пересчётом суточной потребности.</w:t>
            </w:r>
          </w:p>
        </w:tc>
      </w:tr>
      <w:tr w:rsidR="006C1C68" w14:paraId="5111B3EA" w14:textId="77777777">
        <w:trPr>
          <w:cantSplit/>
        </w:trPr>
        <w:tc>
          <w:tcPr>
            <w:tcW w:w="680" w:type="dxa"/>
          </w:tcPr>
          <w:p w14:paraId="0CF324F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5</w:t>
            </w:r>
          </w:p>
        </w:tc>
        <w:tc>
          <w:tcPr>
            <w:tcW w:w="1928" w:type="dxa"/>
          </w:tcPr>
          <w:p w14:paraId="66DEC69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Хранение персональных данных на территории РФ</w:t>
            </w:r>
          </w:p>
        </w:tc>
        <w:tc>
          <w:tcPr>
            <w:tcW w:w="2268" w:type="dxa"/>
          </w:tcPr>
          <w:p w14:paraId="0B75700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</w:t>
            </w:r>
            <w:r>
              <w:rPr>
                <w:sz w:val="20"/>
              </w:rPr>
              <w:noBreakHyphen/>
              <w:t>05 / StH</w:t>
            </w:r>
            <w:r>
              <w:rPr>
                <w:sz w:val="20"/>
              </w:rPr>
              <w:noBreakHyphen/>
              <w:t>05; раздел 7 первичного анализа</w:t>
            </w:r>
          </w:p>
        </w:tc>
        <w:tc>
          <w:tcPr>
            <w:tcW w:w="5330" w:type="dxa"/>
          </w:tcPr>
          <w:p w14:paraId="3357F9A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Добавить ограничение CON</w:t>
            </w:r>
            <w:r>
              <w:rPr>
                <w:sz w:val="20"/>
              </w:rPr>
              <w:noBreakHyphen/>
              <w:t>12 (Must Have): базы данных и резервные копии с персональными данными граждан РФ размещаются на серверах на территории РФ; критерий – инспекция договора с хостинг-провайдером и расположения серверов.</w:t>
            </w:r>
          </w:p>
        </w:tc>
      </w:tr>
      <w:tr w:rsidR="006C1C68" w14:paraId="1CE0E479" w14:textId="77777777">
        <w:trPr>
          <w:cantSplit/>
        </w:trPr>
        <w:tc>
          <w:tcPr>
            <w:tcW w:w="680" w:type="dxa"/>
          </w:tcPr>
          <w:p w14:paraId="2F300AF3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6</w:t>
            </w:r>
          </w:p>
        </w:tc>
        <w:tc>
          <w:tcPr>
            <w:tcW w:w="1928" w:type="dxa"/>
          </w:tcPr>
          <w:p w14:paraId="6120D82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Выгрузка персональных данных</w:t>
            </w:r>
          </w:p>
        </w:tc>
        <w:tc>
          <w:tcPr>
            <w:tcW w:w="2268" w:type="dxa"/>
          </w:tcPr>
          <w:p w14:paraId="441236A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27, FR</w:t>
            </w:r>
            <w:r>
              <w:rPr>
                <w:sz w:val="20"/>
              </w:rPr>
              <w:noBreakHyphen/>
              <w:t>31 / StH</w:t>
            </w:r>
            <w:r>
              <w:rPr>
                <w:sz w:val="20"/>
              </w:rPr>
              <w:noBreakHyphen/>
              <w:t>05; раздел 7 первичного анализа</w:t>
            </w:r>
          </w:p>
        </w:tc>
        <w:tc>
          <w:tcPr>
            <w:tcW w:w="5330" w:type="dxa"/>
          </w:tcPr>
          <w:p w14:paraId="09C670C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FR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31: по запросу пользователь получает файл со всеми своими данными (профиль, дневник питания, замеры веса, отметки о самочувствии, история объяснений, факт согласия) в формате JSON либо CSV не позднее 3 рабочих дней.</w:t>
            </w:r>
          </w:p>
        </w:tc>
      </w:tr>
      <w:tr w:rsidR="006C1C68" w14:paraId="34D3D70C" w14:textId="77777777">
        <w:trPr>
          <w:cantSplit/>
        </w:trPr>
        <w:tc>
          <w:tcPr>
            <w:tcW w:w="680" w:type="dxa"/>
          </w:tcPr>
          <w:p w14:paraId="7AA9C48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7</w:t>
            </w:r>
          </w:p>
        </w:tc>
        <w:tc>
          <w:tcPr>
            <w:tcW w:w="1928" w:type="dxa"/>
          </w:tcPr>
          <w:p w14:paraId="5DE66A2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Защита пользователей из группы риска</w:t>
            </w:r>
          </w:p>
        </w:tc>
        <w:tc>
          <w:tcPr>
            <w:tcW w:w="2268" w:type="dxa"/>
          </w:tcPr>
          <w:p w14:paraId="6B844472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02 – FR</w:t>
            </w:r>
            <w:r>
              <w:rPr>
                <w:sz w:val="20"/>
              </w:rPr>
              <w:noBreakHyphen/>
              <w:t>04, FR</w:t>
            </w:r>
            <w:r>
              <w:rPr>
                <w:sz w:val="20"/>
              </w:rPr>
              <w:noBreakHyphen/>
              <w:t>23, FR</w:t>
            </w:r>
            <w:r>
              <w:rPr>
                <w:sz w:val="20"/>
              </w:rPr>
              <w:noBreakHyphen/>
              <w:t>24 / риски и раздел 7 первичного анализа</w:t>
            </w:r>
          </w:p>
        </w:tc>
        <w:tc>
          <w:tcPr>
            <w:tcW w:w="5330" w:type="dxa"/>
          </w:tcPr>
          <w:p w14:paraId="4C42AC2B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FR</w:t>
            </w:r>
            <w:r>
              <w:rPr>
                <w:sz w:val="20"/>
              </w:rPr>
              <w:noBreakHyphen/>
              <w:t>03 и FR</w:t>
            </w:r>
            <w:r>
              <w:rPr>
                <w:sz w:val="20"/>
              </w:rPr>
              <w:noBreakHyphen/>
              <w:t>04: суточная норма калорий не может быть ниже основного обмена; дополнить FR</w:t>
            </w:r>
            <w:r>
              <w:rPr>
                <w:sz w:val="20"/>
              </w:rPr>
              <w:noBreakHyphen/>
              <w:t>02: целевой вес, соответствующий ИМТ ниже 18,5, не принимается с сообщением пользователю; дополнить FR</w:t>
            </w:r>
            <w:r>
              <w:rPr>
                <w:sz w:val="20"/>
              </w:rPr>
              <w:noBreakHyphen/>
              <w:t>23: при ИМТ ниже 18,5 рекомендации по снижению веса не формируются.</w:t>
            </w:r>
          </w:p>
        </w:tc>
      </w:tr>
      <w:tr w:rsidR="006C1C68" w14:paraId="2730A1DD" w14:textId="77777777">
        <w:trPr>
          <w:cantSplit/>
        </w:trPr>
        <w:tc>
          <w:tcPr>
            <w:tcW w:w="680" w:type="dxa"/>
          </w:tcPr>
          <w:p w14:paraId="3DEDB0A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8</w:t>
            </w:r>
          </w:p>
        </w:tc>
        <w:tc>
          <w:tcPr>
            <w:tcW w:w="1928" w:type="dxa"/>
          </w:tcPr>
          <w:p w14:paraId="629E4FC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Получение согласия в сценарии регистрации</w:t>
            </w:r>
          </w:p>
        </w:tc>
        <w:tc>
          <w:tcPr>
            <w:tcW w:w="2268" w:type="dxa"/>
          </w:tcPr>
          <w:p w14:paraId="6E677B1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30, CON</w:t>
            </w:r>
            <w:r>
              <w:rPr>
                <w:sz w:val="20"/>
              </w:rPr>
              <w:noBreakHyphen/>
              <w:t>05 / UC</w:t>
            </w:r>
            <w:r>
              <w:rPr>
                <w:sz w:val="20"/>
              </w:rPr>
              <w:noBreakHyphen/>
              <w:t>1, шаг 4</w:t>
            </w:r>
          </w:p>
        </w:tc>
        <w:tc>
          <w:tcPr>
            <w:tcW w:w="5330" w:type="dxa"/>
          </w:tcPr>
          <w:p w14:paraId="12E99CC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UC</w:t>
            </w:r>
            <w:r>
              <w:rPr>
                <w:sz w:val="20"/>
              </w:rPr>
              <w:noBreakHyphen/>
              <w:t>1 шагом между шагами 3 и 4: система отображает политику обработки персональных данных и запрашивает согласие; альтернативный поток – при отказе учётная запись не создаётся и данные не сохраняются.</w:t>
            </w:r>
          </w:p>
        </w:tc>
      </w:tr>
      <w:tr w:rsidR="006C1C68" w14:paraId="7803B06A" w14:textId="77777777">
        <w:trPr>
          <w:cantSplit/>
        </w:trPr>
        <w:tc>
          <w:tcPr>
            <w:tcW w:w="680" w:type="dxa"/>
          </w:tcPr>
          <w:p w14:paraId="0FBE62C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9</w:t>
            </w:r>
          </w:p>
        </w:tc>
        <w:tc>
          <w:tcPr>
            <w:tcW w:w="1928" w:type="dxa"/>
          </w:tcPr>
          <w:p w14:paraId="15DFDDF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Требования, не отражённые в сценариях</w:t>
            </w:r>
          </w:p>
        </w:tc>
        <w:tc>
          <w:tcPr>
            <w:tcW w:w="2268" w:type="dxa"/>
          </w:tcPr>
          <w:p w14:paraId="4853CBC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05, FR</w:t>
            </w:r>
            <w:r>
              <w:rPr>
                <w:sz w:val="20"/>
              </w:rPr>
              <w:noBreakHyphen/>
              <w:t>11, FR</w:t>
            </w:r>
            <w:r>
              <w:rPr>
                <w:sz w:val="20"/>
              </w:rPr>
              <w:noBreakHyphen/>
              <w:t>28, FR</w:t>
            </w:r>
            <w:r>
              <w:rPr>
                <w:sz w:val="20"/>
              </w:rPr>
              <w:noBreakHyphen/>
              <w:t>30 – FR</w:t>
            </w:r>
            <w:r>
              <w:rPr>
                <w:sz w:val="20"/>
              </w:rPr>
              <w:noBreakHyphen/>
              <w:t>32 / UC</w:t>
            </w:r>
            <w:r>
              <w:rPr>
                <w:sz w:val="20"/>
              </w:rPr>
              <w:noBreakHyphen/>
              <w:t>2, UC</w:t>
            </w:r>
            <w:r>
              <w:rPr>
                <w:sz w:val="20"/>
              </w:rPr>
              <w:noBreakHyphen/>
              <w:t>3</w:t>
            </w:r>
          </w:p>
        </w:tc>
        <w:tc>
          <w:tcPr>
            <w:tcW w:w="5330" w:type="dxa"/>
          </w:tcPr>
          <w:p w14:paraId="51BDC38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Описать сценарий UC</w:t>
            </w:r>
            <w:r>
              <w:rPr>
                <w:sz w:val="20"/>
              </w:rPr>
              <w:noBreakHyphen/>
              <w:t>7 «Управление профилем и персональными данными» (изменение анкеты с пересчётом нормы, просмотр, удаление данных и отзыв согласия); дополнить UC</w:t>
            </w:r>
            <w:r>
              <w:rPr>
                <w:sz w:val="20"/>
              </w:rPr>
              <w:noBreakHyphen/>
              <w:t>2 альтернативными потоками копирования приёма пищи и учёта воды, UC</w:t>
            </w:r>
            <w:r>
              <w:rPr>
                <w:sz w:val="20"/>
              </w:rPr>
              <w:noBreakHyphen/>
              <w:t>3 – шагом внесения отметок о самочувствии.</w:t>
            </w:r>
          </w:p>
        </w:tc>
      </w:tr>
      <w:tr w:rsidR="006C1C68" w14:paraId="25FA2508" w14:textId="77777777">
        <w:trPr>
          <w:cantSplit/>
        </w:trPr>
        <w:tc>
          <w:tcPr>
            <w:tcW w:w="680" w:type="dxa"/>
          </w:tcPr>
          <w:p w14:paraId="4093DB8D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10</w:t>
            </w:r>
          </w:p>
        </w:tc>
        <w:tc>
          <w:tcPr>
            <w:tcW w:w="1928" w:type="dxa"/>
          </w:tcPr>
          <w:p w14:paraId="035A929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Макеты интерфейса</w:t>
            </w:r>
          </w:p>
        </w:tc>
        <w:tc>
          <w:tcPr>
            <w:tcW w:w="2268" w:type="dxa"/>
          </w:tcPr>
          <w:p w14:paraId="44B70ABE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02, FR</w:t>
            </w:r>
            <w:r>
              <w:rPr>
                <w:sz w:val="20"/>
              </w:rPr>
              <w:noBreakHyphen/>
              <w:t>10, FR</w:t>
            </w:r>
            <w:r>
              <w:rPr>
                <w:sz w:val="20"/>
              </w:rPr>
              <w:noBreakHyphen/>
              <w:t>12, FR</w:t>
            </w:r>
            <w:r>
              <w:rPr>
                <w:sz w:val="20"/>
              </w:rPr>
              <w:noBreakHyphen/>
              <w:t>28, FR</w:t>
            </w:r>
            <w:r>
              <w:rPr>
                <w:sz w:val="20"/>
              </w:rPr>
              <w:noBreakHyphen/>
              <w:t>32, CON</w:t>
            </w:r>
            <w:r>
              <w:rPr>
                <w:sz w:val="20"/>
              </w:rPr>
              <w:noBreakHyphen/>
              <w:t>04 / подраздел «Требования к пользовательскому интерфейсу» ТЗ</w:t>
            </w:r>
          </w:p>
        </w:tc>
        <w:tc>
          <w:tcPr>
            <w:tcW w:w="5330" w:type="dxa"/>
          </w:tcPr>
          <w:p w14:paraId="3D23EAF9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макет анкеты полями «желаемый срок достижения цели» и «медицинские показания»; добавить макеты экранов создания собственного блюда, создания карточки продукта, учёта воды и отметок о самочувствии.</w:t>
            </w:r>
          </w:p>
        </w:tc>
      </w:tr>
      <w:tr w:rsidR="006C1C68" w14:paraId="37676D71" w14:textId="77777777">
        <w:trPr>
          <w:cantSplit/>
        </w:trPr>
        <w:tc>
          <w:tcPr>
            <w:tcW w:w="680" w:type="dxa"/>
          </w:tcPr>
          <w:p w14:paraId="086B5DD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11</w:t>
            </w:r>
          </w:p>
        </w:tc>
        <w:tc>
          <w:tcPr>
            <w:tcW w:w="1928" w:type="dxa"/>
          </w:tcPr>
          <w:p w14:paraId="19FB5127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Числовые условия сценариев без требований</w:t>
            </w:r>
          </w:p>
        </w:tc>
        <w:tc>
          <w:tcPr>
            <w:tcW w:w="2268" w:type="dxa"/>
          </w:tcPr>
          <w:p w14:paraId="5965156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noBreakHyphen/>
              <w:t>03, FR</w:t>
            </w:r>
            <w:r>
              <w:rPr>
                <w:sz w:val="20"/>
              </w:rPr>
              <w:noBreakHyphen/>
              <w:t>27 / UC</w:t>
            </w:r>
            <w:r>
              <w:rPr>
                <w:sz w:val="20"/>
              </w:rPr>
              <w:noBreakHyphen/>
              <w:t>2, UC</w:t>
            </w:r>
            <w:r>
              <w:rPr>
                <w:sz w:val="20"/>
              </w:rPr>
              <w:noBreakHyphen/>
              <w:t>6</w:t>
            </w:r>
          </w:p>
        </w:tc>
        <w:tc>
          <w:tcPr>
            <w:tcW w:w="5330" w:type="dxa"/>
          </w:tcPr>
          <w:p w14:paraId="15F371F4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NFR</w:t>
            </w:r>
            <w:r>
              <w:rPr>
                <w:sz w:val="20"/>
              </w:rPr>
              <w:noBreakHyphen/>
              <w:t>03 временем добавления продукта из локального кэша не более 1 с; дополнить FR</w:t>
            </w:r>
            <w:r>
              <w:rPr>
                <w:sz w:val="20"/>
              </w:rPr>
              <w:noBreakHyphen/>
              <w:t>27 сообщением об отсутствии записей за период и временем формирования файла не более 5 с для периода до 90 дней – либо исключить эти условия из специальных требований сценариев.</w:t>
            </w:r>
          </w:p>
        </w:tc>
      </w:tr>
      <w:tr w:rsidR="006C1C68" w14:paraId="2EF6E06A" w14:textId="77777777">
        <w:trPr>
          <w:cantSplit/>
        </w:trPr>
        <w:tc>
          <w:tcPr>
            <w:tcW w:w="680" w:type="dxa"/>
          </w:tcPr>
          <w:p w14:paraId="15DE4CB0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12</w:t>
            </w:r>
          </w:p>
        </w:tc>
        <w:tc>
          <w:tcPr>
            <w:tcW w:w="1928" w:type="dxa"/>
          </w:tcPr>
          <w:p w14:paraId="0C30BE1A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Минимальный объём данных для диагностики</w:t>
            </w:r>
          </w:p>
        </w:tc>
        <w:tc>
          <w:tcPr>
            <w:tcW w:w="2268" w:type="dxa"/>
          </w:tcPr>
          <w:p w14:paraId="44F9ADD5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17, FR</w:t>
            </w:r>
            <w:r>
              <w:rPr>
                <w:sz w:val="20"/>
              </w:rPr>
              <w:noBreakHyphen/>
              <w:t>19 / риски первичного анализа; предусловие UC</w:t>
            </w:r>
            <w:r>
              <w:rPr>
                <w:sz w:val="20"/>
              </w:rPr>
              <w:noBreakHyphen/>
              <w:t>4</w:t>
            </w:r>
          </w:p>
        </w:tc>
        <w:tc>
          <w:tcPr>
            <w:tcW w:w="5330" w:type="dxa"/>
          </w:tcPr>
          <w:p w14:paraId="398E9BA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FR</w:t>
            </w:r>
            <w:r>
              <w:rPr>
                <w:sz w:val="20"/>
              </w:rPr>
              <w:noBreakHyphen/>
              <w:t>19: диагностика выполняется, если за период между контрольными точками внесено не менее 4 замеров веса; иначе пользователь получает сообщение о недостатке данных с напоминанием вносить вес.</w:t>
            </w:r>
          </w:p>
        </w:tc>
      </w:tr>
      <w:tr w:rsidR="006C1C68" w14:paraId="25A75656" w14:textId="77777777">
        <w:trPr>
          <w:cantSplit/>
        </w:trPr>
        <w:tc>
          <w:tcPr>
            <w:tcW w:w="680" w:type="dxa"/>
          </w:tcPr>
          <w:p w14:paraId="500C0E8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</w:t>
            </w:r>
            <w:r>
              <w:rPr>
                <w:sz w:val="20"/>
              </w:rPr>
              <w:noBreakHyphen/>
              <w:t>13</w:t>
            </w:r>
          </w:p>
        </w:tc>
        <w:tc>
          <w:tcPr>
            <w:tcW w:w="1928" w:type="dxa"/>
          </w:tcPr>
          <w:p w14:paraId="79976BC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Опережение плана</w:t>
            </w:r>
          </w:p>
        </w:tc>
        <w:tc>
          <w:tcPr>
            <w:tcW w:w="2268" w:type="dxa"/>
          </w:tcPr>
          <w:p w14:paraId="410F67DF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</w:t>
            </w:r>
            <w:r>
              <w:rPr>
                <w:sz w:val="20"/>
              </w:rPr>
              <w:noBreakHyphen/>
              <w:t>18, FR</w:t>
            </w:r>
            <w:r>
              <w:rPr>
                <w:sz w:val="20"/>
              </w:rPr>
              <w:noBreakHyphen/>
              <w:t>19 / UC</w:t>
            </w:r>
            <w:r>
              <w:rPr>
                <w:sz w:val="20"/>
              </w:rPr>
              <w:noBreakHyphen/>
              <w:t>4, шаги 2 и 3</w:t>
            </w:r>
          </w:p>
        </w:tc>
        <w:tc>
          <w:tcPr>
            <w:tcW w:w="5330" w:type="dxa"/>
          </w:tcPr>
          <w:p w14:paraId="0710AC1C" w14:textId="77777777" w:rsidR="006C1C68" w:rsidRDefault="00F37FB4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FR</w:t>
            </w:r>
            <w:r>
              <w:rPr>
                <w:sz w:val="20"/>
              </w:rPr>
              <w:noBreakHyphen/>
              <w:t>19: если вес снижается (набирается) быстрее плановой динамики более чем на 0,2 кг/нед, диагностика не запускается, а пользователь получает сообщение о слишком быстром темпе с рекомендацией проверить норму.</w:t>
            </w:r>
          </w:p>
        </w:tc>
      </w:tr>
    </w:tbl>
    <w:p w14:paraId="1FA7E282" w14:textId="77777777" w:rsidR="00D63BE8" w:rsidRDefault="00F37FB4">
      <w:pPr>
        <w:keepNext/>
        <w:ind w:firstLine="850"/>
      </w:pPr>
      <w:r>
        <w:rPr>
          <w:b/>
        </w:rPr>
        <w:t>6. Итог проверки</w:t>
      </w:r>
    </w:p>
    <w:p w14:paraId="06A950B9" w14:textId="77777777" w:rsidR="00D63BE8" w:rsidRDefault="00F37FB4">
      <w:pPr>
        <w:spacing w:before="0"/>
        <w:ind w:firstLine="850"/>
      </w:pPr>
      <w:r>
        <w:t>Комплекс из четырёх документов по проекту «Сервис персонализированного контроля питания» (Metabolix) в целом полон и непротиворечив для реализации основных процессов системы: регистрации и расчёта персонального плана, ведения дневника питания, фиксации веса и отслеживания прогресса, диагностики причины отклонения с формированием персонализированного объяснения, корректировки плана и экспорта дневника. Техническое задание и перечень требований синхронизированы: оба документа содержат одни и те же 68 требован</w:t>
      </w:r>
      <w:r>
        <w:t>ий.</w:t>
      </w:r>
    </w:p>
    <w:p w14:paraId="288A853A" w14:textId="77777777" w:rsidR="00D63BE8" w:rsidRDefault="00F37FB4">
      <w:pPr>
        <w:spacing w:before="0"/>
        <w:ind w:firstLine="850"/>
      </w:pPr>
      <w:r>
        <w:t>Все шесть стейкхолдеров обеспечены требованиями, стейкхолдеров без покрытия нет; наибольший пробел относится к владельцу продукта, а три стейкхолдера перечня отсутствуют в первичном анализе. Из 37 шагов основных потоков сценариев UC</w:t>
      </w:r>
      <w:r>
        <w:noBreakHyphen/>
        <w:t>1 – UC</w:t>
      </w:r>
      <w:r>
        <w:noBreakHyphen/>
        <w:t>6 полностью обеспечены 36, частично – 1; из 10 альтернативных потоков полностью обеспечены 9, не обеспечен – 1. Найдено 13 формулировок с диапазоном вместо значения, неопределённым направлением, составом или порядком действий и 10 групп требований с потенциальным конфликтом при реализации; для всех конфликтов выбраны стратегии разрешения, прямых противоречий, исключающих одновременное выполнение требований, не выявлено.</w:t>
      </w:r>
    </w:p>
    <w:p w14:paraId="6525C880" w14:textId="77777777" w:rsidR="00D63BE8" w:rsidRDefault="00F37FB4">
      <w:pPr>
        <w:spacing w:before="0"/>
        <w:ind w:firstLine="850"/>
      </w:pPr>
      <w:r>
        <w:t>До утверждения комплекса документов необходимо закрыть уточнения УТ</w:t>
      </w:r>
      <w:r>
        <w:noBreakHyphen/>
        <w:t>1 – УТ</w:t>
      </w:r>
      <w:r>
        <w:noBreakHyphen/>
        <w:t>13, внести замены формулировок по таблице 4 одновременно в перечень требований и техническое задание, дополнить сценарии использования по УТ</w:t>
      </w:r>
      <w:r>
        <w:noBreakHyphen/>
        <w:t>8, УТ</w:t>
      </w:r>
      <w:r>
        <w:noBreakHyphen/>
        <w:t>9 и УТ</w:t>
      </w:r>
      <w:r>
        <w:noBreakHyphen/>
        <w:t>11, а первичный анализ – по УТ</w:t>
      </w:r>
      <w:r>
        <w:noBreakHyphen/>
        <w:t>1 и УТ</w:t>
      </w:r>
      <w:r>
        <w:noBreakHyphen/>
        <w:t>4.</w:t>
      </w:r>
    </w:p>
    <w:sectPr w:rsidR="00D63BE8">
      <w:headerReference w:type="default" r:id="rId12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FF91" w14:textId="77777777" w:rsidR="00F37FB4" w:rsidRDefault="00F37FB4">
      <w:pPr>
        <w:spacing w:before="0" w:line="240" w:lineRule="auto"/>
      </w:pPr>
      <w:r>
        <w:separator/>
      </w:r>
    </w:p>
  </w:endnote>
  <w:endnote w:type="continuationSeparator" w:id="0">
    <w:p w14:paraId="4864C446" w14:textId="77777777" w:rsidR="00F37FB4" w:rsidRDefault="00F37FB4">
      <w:pPr>
        <w:spacing w:before="0" w:line="240" w:lineRule="auto"/>
      </w:pPr>
      <w:r>
        <w:continuationSeparator/>
      </w:r>
    </w:p>
  </w:endnote>
  <w:endnote w:type="continuationNotice" w:id="1">
    <w:p w14:paraId="613988A4" w14:textId="77777777" w:rsidR="00F37FB4" w:rsidRDefault="00F37FB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B182" w14:textId="77777777" w:rsidR="00F37FB4" w:rsidRDefault="00F37FB4" w:rsidP="00990EAC">
      <w:pPr>
        <w:spacing w:before="0" w:line="240" w:lineRule="auto"/>
      </w:pPr>
      <w:r>
        <w:separator/>
      </w:r>
    </w:p>
  </w:footnote>
  <w:footnote w:type="continuationSeparator" w:id="0">
    <w:p w14:paraId="4DD382A4" w14:textId="77777777" w:rsidR="00F37FB4" w:rsidRDefault="00F37FB4" w:rsidP="00990EAC">
      <w:pPr>
        <w:spacing w:before="0" w:line="240" w:lineRule="auto"/>
      </w:pPr>
      <w:r>
        <w:continuationSeparator/>
      </w:r>
    </w:p>
  </w:footnote>
  <w:footnote w:type="continuationNotice" w:id="1">
    <w:p w14:paraId="456D2B5D" w14:textId="77777777" w:rsidR="00F37FB4" w:rsidRDefault="00F37FB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D55B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3940CA88" w14:textId="77777777"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17A8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70F3799F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2613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3CD8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472B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1C68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D442C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22CE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0C54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3BE8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C6FD5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37FB4"/>
    <w:rsid w:val="00F4271F"/>
    <w:rsid w:val="00F45349"/>
    <w:rsid w:val="00F47B4E"/>
    <w:rsid w:val="00F5534E"/>
    <w:rsid w:val="00F6042B"/>
    <w:rsid w:val="00F62DCD"/>
    <w:rsid w:val="00F63CD0"/>
    <w:rsid w:val="00F663F6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9089E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0</TotalTime>
  <Pages>3</Pages>
  <Words>4371</Words>
  <Characters>24917</Characters>
  <Application>Microsoft Office Word</Application>
  <DocSecurity>0</DocSecurity>
  <Lines>207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полноты и непротиворечивости требований</dc:title>
  <dc:subject/>
  <dc:creator>Титков Д.М.</dc:creator>
  <cp:keywords/>
  <dc:description/>
  <cp:lastModifiedBy>cans1z</cp:lastModifiedBy>
  <cp:revision>2</cp:revision>
  <cp:lastPrinted>2025-04-03T08:40:00Z</cp:lastPrinted>
  <dcterms:created xsi:type="dcterms:W3CDTF">2026-10-24T06:49:00Z</dcterms:created>
  <dcterms:modified xsi:type="dcterms:W3CDTF">2026-10-24T06:49:00Z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