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 xml:space="preserve">Regarding point (b), we now identify emergent properties of the combined model that neither component produces alone. The most important is the </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 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 xml:space="preserve">The Table 2 description for avg-of-thresholds and std-of-thresholds now states: “Threshold values follow the same [1, 100] ≡ [0.01, 1.00] discretization convention as attitude values: in the adoption decision rule </w:t>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 xml:space="preserve">16. </w:t>
      </w:r>
      <w:r>
        <w:rPr>
          <w:rFonts w:eastAsia="Times New Roman"/>
        </w:rPr>
      </w:r>
      <w:r>
        <w:t>Code and data: Public GitHub repository with Zenodo DOI.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