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D43B55" w:rsidRDefault="005150AD">
      <w:pPr>
        <w:spacing w:before="2400"/>
      </w:pPr>
    </w:p>
    <w:p w14:paraId="141CEF27" w14:textId="77777777" w:rsidR="005150AD" w:rsidRPr="00D43B55" w:rsidRDefault="00000000">
      <w:pPr>
        <w:spacing w:after="240"/>
        <w:jc w:val="center"/>
        <w:rPr>
          <w:sz w:val="40"/>
          <w:szCs w:val="40"/>
        </w:rPr>
      </w:pPr>
      <w:r>
        <w:rPr>
          <w:rFonts w:eastAsia="Times New Roman"/>
          <w:b/>
          <w:bCs/>
          <w:sz w:val="40"/>
          <w:szCs w:val="40"/>
        </w:rPr>
        <w:t>Response to Reviewers</w:t>
      </w:r>
    </w:p>
    <w:p w14:paraId="350F7593" w14:textId="77777777" w:rsidR="005150AD" w:rsidRPr="00D43B55" w:rsidRDefault="00000000">
      <w:pPr>
        <w:spacing w:after="120"/>
        <w:jc w:val="center"/>
      </w:pPr>
      <w:r>
        <w:rPr>
          <w:rFonts w:eastAsia="Times New Roman"/>
          <w:sz w:val="24"/>
          <w:szCs w:val="24"/>
        </w:rPr>
        <w:t>Manuscript ID: PONE-D-26-01398</w:t>
      </w:r>
    </w:p>
    <w:p w14:paraId="2D1E4A0A" w14:textId="77777777" w:rsidR="005150AD" w:rsidRPr="00D43B55" w:rsidRDefault="00000000">
      <w:pPr>
        <w:spacing w:after="480"/>
        <w:jc w:val="center"/>
      </w:pPr>
      <w:r>
        <w:rPr>
          <w:rFonts w:eastAsia="Times New Roman"/>
          <w:i/>
          <w:iCs/>
          <w:sz w:val="24"/>
          <w:szCs w:val="24"/>
        </w:rPr>
        <w:t>"Exploring the ‘Best Game No One Played’ Phenomenon Using A Mixed Opinion Dynamics and Innovation Diffusion Model"</w:t>
      </w:r>
    </w:p>
    <w:p w14:paraId="7E0B3FF7" w14:textId="77777777" w:rsidR="005150AD" w:rsidRPr="00D43B55" w:rsidRDefault="00000000">
      <w:pPr>
        <w:spacing w:after="120"/>
        <w:jc w:val="center"/>
      </w:pPr>
      <w:r>
        <w:rPr>
          <w:rFonts w:eastAsia="Times New Roman"/>
          <w:sz w:val="24"/>
          <w:szCs w:val="24"/>
        </w:rPr>
        <w:t>Chung-Yuan Huang and Sheng-Wen Wang</w:t>
      </w:r>
    </w:p>
    <w:p w14:paraId="10A1DADF" w14:textId="77777777" w:rsidR="005150AD" w:rsidRPr="00D43B55" w:rsidRDefault="00000000">
      <w:r>
        <w:br w:type="page"/>
      </w:r>
    </w:p>
    <w:p w14:paraId="2C566578" w14:textId="77777777" w:rsidR="005150AD" w:rsidRPr="00630B2A" w:rsidRDefault="00000000" w:rsidP="00D43B55">
      <w:pPr>
        <w:pStyle w:val="1"/>
        <w:spacing w:before="0" w:afterLines="100" w:after="240" w:line="360" w:lineRule="auto"/>
        <w:jc w:val="center"/>
      </w:pPr>
      <w:r>
        <w:lastRenderedPageBreak/>
        <w:t>Letter to the Academic Editor</w:t>
      </w:r>
    </w:p>
    <w:p w14:paraId="097F78E0" w14:textId="77777777" w:rsidR="005150AD" w:rsidRPr="00D43B55" w:rsidRDefault="00000000" w:rsidP="00630B2A">
      <w:pPr>
        <w:spacing w:afterLines="50" w:after="120" w:line="360" w:lineRule="auto"/>
        <w:rPr>
          <w:sz w:val="24"/>
          <w:szCs w:val="24"/>
        </w:rPr>
      </w:pPr>
      <w:r>
        <w:rPr>
          <w:rFonts w:eastAsia="Times New Roman"/>
          <w:sz w:val="24"/>
          <w:szCs w:val="24"/>
        </w:rPr>
        <w:t>Dear Prof. Krzysztof Malarz,</w:t>
      </w:r>
    </w:p>
    <w:p w14:paraId="7A4CD967"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(8) conversion to the PLOS LaTeX template with public code and data repositories; (9) expanded Discussion paragraphs that ground the three motivating cases—the Palm handheld, the Taiwanese film The Bold, The Corrupt and The Beautiful, and service-oriented architecture—in specific model parameters and simulation figures; and (10) comparison with voter models with inertia and SIS/SIR epidemic frameworks to clarify the model’s unique two-channel structure.</w:t>
      </w:r>
    </w:p>
    <w:p w14:paraId="5339DF11"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 xml:space="preserve">Below, we provide a point-by-point response to all journal requirements and reviewer comments. Reviewer comments are shown in </w:t>
      </w:r>
      <w:r>
        <w:rPr>
          <w:rFonts w:eastAsia="Times New Roman"/>
          <w:i/>
          <w:iCs/>
          <w:sz w:val="24"/>
          <w:szCs w:val="24"/>
        </w:rPr>
        <w:t>gray italics</w:t>
      </w:r>
      <w:r>
        <w:rPr>
          <w:rFonts w:eastAsia="Times New Roman"/>
          <w:sz w:val="24"/>
          <w:szCs w:val="24"/>
        </w:rPr>
        <w:t xml:space="preserve">, our responses in regular text, and specific manuscript changes are highlighted in </w:t>
      </w:r>
      <w:r>
        <w:rPr>
          <w:rFonts w:eastAsia="Times New Roman"/>
          <w:b/>
          <w:bCs/>
          <w:color w:val="2E75B6"/>
          <w:sz w:val="24"/>
          <w:szCs w:val="24"/>
        </w:rPr>
        <w:t>blue-bordered blocks</w:t>
      </w:r>
      <w:r>
        <w:rPr>
          <w:rFonts w:eastAsia="Times New Roman"/>
          <w:sz w:val="24"/>
          <w:szCs w:val="24"/>
        </w:rPr>
        <w:t>.</w:t>
      </w:r>
    </w:p>
    <w:p w14:paraId="6E2F729A"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Sincerely,</w:t>
      </w:r>
    </w:p>
    <w:p w14:paraId="2D4C7F93" w14:textId="77777777" w:rsidR="005150AD" w:rsidRPr="00D43B55" w:rsidRDefault="00000000" w:rsidP="00630B2A">
      <w:pPr>
        <w:spacing w:afterLines="50" w:after="120" w:line="360" w:lineRule="auto"/>
        <w:jc w:val="right"/>
        <w:rPr>
          <w:i/>
          <w:iCs/>
          <w:sz w:val="24"/>
          <w:szCs w:val="24"/>
          <w:u w:val="single"/>
        </w:rPr>
      </w:pPr>
      <w:r>
        <w:rPr>
          <w:rFonts w:eastAsia="Times New Roman"/>
          <w:i/>
          <w:iCs/>
          <w:sz w:val="24"/>
          <w:szCs w:val="24"/>
          <w:u w:val="single"/>
        </w:rPr>
        <w:t>Chung-Yuan Huang and Sheng-Wen Wang</w:t>
      </w:r>
    </w:p>
    <w:p w14:paraId="6AC6E72B" w14:textId="77777777" w:rsidR="005150AD" w:rsidRPr="00D43B55" w:rsidRDefault="00000000">
      <w:r>
        <w:br w:type="page"/>
      </w:r>
    </w:p>
    <w:p w14:paraId="20D46D52" w14:textId="77777777" w:rsidR="00904E86" w:rsidRPr="00D43B55" w:rsidRDefault="00000000" w:rsidP="005F6E50">
      <w:pPr>
        <w:pStyle w:val="1"/>
        <w:spacing w:before="0" w:afterLines="50" w:after="120"/>
        <w:rPr>
          <w:sz w:val="24"/>
          <w:szCs w:val="24"/>
        </w:rPr>
      </w:pPr>
      <w:r>
        <w:rPr>
          <w:sz w:val="24"/>
          <w:szCs w:val="24"/>
        </w:rPr>
        <w:lastRenderedPageBreak/>
        <w:t>Part I: Journal Requirements</w:t>
      </w:r>
    </w:p>
    <w:p w14:paraId="4ED6F1F4" w14:textId="16E33B29" w:rsidR="005150AD" w:rsidRPr="00D43B55" w:rsidRDefault="008A71A0" w:rsidP="005F6E50">
      <w:pPr>
        <w:pStyle w:val="1"/>
        <w:numPr>
          <w:ilvl w:val="0"/>
          <w:numId w:val="7"/>
        </w:numPr>
        <w:spacing w:before="0" w:afterLines="50" w:after="120"/>
        <w:rPr>
          <w:b w:val="0"/>
          <w:bCs w:val="0"/>
          <w:sz w:val="24"/>
          <w:szCs w:val="24"/>
        </w:rPr>
      </w:pPr>
      <w:r>
        <w:rPr>
          <w:b w:val="0"/>
          <w:bCs w:val="0"/>
          <w:color w:val="404040"/>
          <w:sz w:val="24"/>
          <w:szCs w:val="24"/>
        </w:rPr>
        <w:t xml:space="preserve">Please ensure that your manuscript meets PLOS ONE's style requirements, including those for file naming. </w:t>
      </w:r>
    </w:p>
    <w:p w14:paraId="0FE879EE" w14:textId="77777777" w:rsidR="0000067E" w:rsidRPr="00D43B55" w:rsidRDefault="005A5283" w:rsidP="005F6E50">
      <w:pPr>
        <w:spacing w:afterLines="50" w:after="120"/>
        <w:rPr>
          <w:rFonts w:eastAsia="Times New Roman"/>
          <w:sz w:val="24"/>
          <w:szCs w:val="24"/>
        </w:rPr>
      </w:pPr>
      <w:r>
        <w:rPr>
          <w:rFonts w:eastAsia="Times New Roman"/>
          <w:sz w:val="24"/>
          <w:szCs w:val="24"/>
        </w:rPr>
        <w:t xml:space="preserve">Response: </w:t>
      </w:r>
    </w:p>
    <w:p w14:paraId="64D189C2" w14:textId="3BE44C68" w:rsidR="00A01762" w:rsidRPr="00D43B55" w:rsidRDefault="00A01762" w:rsidP="005F6E50">
      <w:pPr>
        <w:spacing w:afterLines="50" w:after="120"/>
        <w:rPr>
          <w:rFonts w:eastAsia="Times New Roman"/>
          <w:color w:val="0070C0"/>
          <w:sz w:val="24"/>
          <w:szCs w:val="24"/>
        </w:rPr>
      </w:pPr>
      <w:r>
        <w:rPr>
          <w:rFonts w:eastAsia="Times New Roman"/>
          <w:color w:val="0070C0"/>
          <w:sz w:val="24"/>
          <w:szCs w:val="24"/>
        </w:rPr>
        <w:t>We reviewed and ensured full compliance with PLOS ONE style requirements, including use of the official LaTeX template (plos2025.bst, Version 3.7), PLOS-compliant figure file naming (Fig1.tif–Fig12.tif), multi-panel figures combined with embedded panel labels, TIFF format at 300 DPI, and proper in-text citation conventions.</w:t>
      </w:r>
    </w:p>
    <w:p w14:paraId="6FA9D54F" w14:textId="77777777" w:rsidR="003E0F2E" w:rsidRPr="00D43B55" w:rsidRDefault="003E0F2E" w:rsidP="005F6E50">
      <w:pPr>
        <w:spacing w:afterLines="50" w:after="120"/>
        <w:rPr>
          <w:rFonts w:eastAsia="Times New Roman"/>
          <w:sz w:val="24"/>
          <w:szCs w:val="24"/>
        </w:rPr>
      </w:pPr>
    </w:p>
    <w:p w14:paraId="4E1A3926" w14:textId="5C16D767" w:rsidR="005150AD" w:rsidRPr="00D43B55" w:rsidRDefault="00167C5F" w:rsidP="005F6E50">
      <w:pPr>
        <w:pStyle w:val="a4"/>
        <w:numPr>
          <w:ilvl w:val="0"/>
          <w:numId w:val="7"/>
        </w:numPr>
        <w:spacing w:afterLines="50" w:after="120"/>
        <w:rPr>
          <w:rFonts w:eastAsia="Times New Roman"/>
          <w:sz w:val="24"/>
          <w:szCs w:val="24"/>
        </w:rPr>
      </w:pPr>
      <w:r>
        <w:rPr>
          <w:rFonts w:eastAsia="Times New Roman"/>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D43B55" w:rsidRDefault="004719BC" w:rsidP="005F6E50">
      <w:pPr>
        <w:pStyle w:val="2"/>
        <w:spacing w:before="0" w:afterLines="50" w:after="120"/>
        <w:rPr>
          <w:b w:val="0"/>
          <w:bCs w:val="0"/>
        </w:rPr>
      </w:pPr>
      <w:r>
        <w:rPr>
          <w:b w:val="0"/>
          <w:bCs w:val="0"/>
        </w:rPr>
        <w:t xml:space="preserve">Response: </w:t>
      </w:r>
    </w:p>
    <w:p w14:paraId="7BA41AB8" w14:textId="77777777" w:rsidR="005F6E50" w:rsidRPr="00D43B55" w:rsidRDefault="005F6E50" w:rsidP="005F6E50">
      <w:pPr>
        <w:pStyle w:val="2"/>
        <w:spacing w:before="0" w:afterLines="50" w:after="120"/>
        <w:rPr>
          <w:b w:val="0"/>
          <w:bCs w:val="0"/>
          <w:color w:val="0070C0"/>
        </w:rPr>
      </w:pPr>
      <w:r>
        <w:rPr>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10.5281/zenodo.19216365) for long-term accessibility. A step-by-step protocol for reproducing all simulation results has been published on protocols.io (DOI: 10.17504/protocols.io.261geykydv47/v1). We updated the Data Availability Statement accordingly.</w:t>
      </w:r>
    </w:p>
    <w:p w14:paraId="1C02B122" w14:textId="77777777" w:rsidR="003E0F2E" w:rsidRPr="00D43B55" w:rsidRDefault="003E0F2E" w:rsidP="005F6E50">
      <w:pPr>
        <w:pStyle w:val="2"/>
        <w:spacing w:before="0" w:afterLines="50" w:after="120"/>
        <w:rPr>
          <w:b w:val="0"/>
          <w:bCs w:val="0"/>
        </w:rPr>
      </w:pPr>
    </w:p>
    <w:p w14:paraId="68A11F69" w14:textId="66A5BA08" w:rsidR="005150AD" w:rsidRPr="00D43B55" w:rsidRDefault="0002428D" w:rsidP="005F6E50">
      <w:pPr>
        <w:pStyle w:val="2"/>
        <w:numPr>
          <w:ilvl w:val="0"/>
          <w:numId w:val="7"/>
        </w:numPr>
        <w:spacing w:before="0" w:afterLines="50" w:after="120"/>
        <w:rPr>
          <w:b w:val="0"/>
          <w:bCs w:val="0"/>
        </w:rPr>
      </w:pPr>
      <w:r>
        <w:rPr>
          <w:b w:val="0"/>
          <w:bCs w:val="0"/>
          <w:color w:val="404040"/>
        </w:rPr>
        <w:t>Please update your submission to use the PLOS LaTeX template.</w:t>
      </w:r>
    </w:p>
    <w:p w14:paraId="2E638261" w14:textId="77777777" w:rsidR="0006403B" w:rsidRPr="00D43B55" w:rsidRDefault="0006403B" w:rsidP="005F6E50">
      <w:pPr>
        <w:pStyle w:val="2"/>
        <w:spacing w:before="0" w:afterLines="50" w:after="120"/>
        <w:rPr>
          <w:b w:val="0"/>
          <w:bCs w:val="0"/>
        </w:rPr>
      </w:pPr>
      <w:r>
        <w:rPr>
          <w:b w:val="0"/>
          <w:bCs w:val="0"/>
        </w:rPr>
        <w:t xml:space="preserve">Response: </w:t>
      </w:r>
    </w:p>
    <w:p w14:paraId="78B1F7FD" w14:textId="77777777" w:rsidR="005F6E50" w:rsidRPr="00D43B55" w:rsidRDefault="005F6E50" w:rsidP="005F6E50">
      <w:pPr>
        <w:pStyle w:val="2"/>
        <w:spacing w:before="0" w:afterLines="50" w:after="120"/>
        <w:rPr>
          <w:b w:val="0"/>
          <w:bCs w:val="0"/>
          <w:color w:val="0070C0"/>
        </w:rPr>
      </w:pPr>
      <w:r>
        <w:rPr>
          <w:b w:val="0"/>
          <w:bCs w:val="0"/>
          <w:color w:val="0070C0"/>
        </w:rPr>
        <w:t>Thank you for the guidance. We prepared the manuscript using the official PLOS ONE LaTeX template, including all required formatting elements.</w:t>
      </w:r>
    </w:p>
    <w:p w14:paraId="21AB8ADE" w14:textId="77777777" w:rsidR="003E0F2E" w:rsidRPr="00D43B55" w:rsidRDefault="003E0F2E" w:rsidP="005F6E50">
      <w:pPr>
        <w:pStyle w:val="2"/>
        <w:spacing w:before="0" w:afterLines="50" w:after="120"/>
        <w:rPr>
          <w:b w:val="0"/>
          <w:bCs w:val="0"/>
        </w:rPr>
      </w:pPr>
    </w:p>
    <w:p w14:paraId="217DB0D2" w14:textId="7653DD5F" w:rsidR="005150AD" w:rsidRPr="00D43B55" w:rsidRDefault="001B1A5A" w:rsidP="005F6E50">
      <w:pPr>
        <w:pStyle w:val="2"/>
        <w:numPr>
          <w:ilvl w:val="0"/>
          <w:numId w:val="7"/>
        </w:numPr>
        <w:spacing w:before="0" w:afterLines="50" w:after="120"/>
        <w:rPr>
          <w:b w:val="0"/>
          <w:bCs w:val="0"/>
        </w:rPr>
      </w:pPr>
      <w:r>
        <w:rPr>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D43B55" w:rsidRDefault="00607937" w:rsidP="005F6E50">
      <w:pPr>
        <w:pStyle w:val="2"/>
        <w:spacing w:before="0" w:afterLines="50" w:after="120"/>
        <w:rPr>
          <w:b w:val="0"/>
          <w:bCs w:val="0"/>
        </w:rPr>
      </w:pPr>
      <w:r>
        <w:rPr>
          <w:b w:val="0"/>
          <w:bCs w:val="0"/>
        </w:rPr>
        <w:t xml:space="preserve">Response: </w:t>
      </w:r>
    </w:p>
    <w:p w14:paraId="76FFA2BE" w14:textId="4053FF7B" w:rsidR="005F6E50" w:rsidRPr="00D43B55" w:rsidRDefault="005F6E50" w:rsidP="005F6E50">
      <w:pPr>
        <w:spacing w:afterLines="50" w:after="120"/>
        <w:rPr>
          <w:rFonts w:eastAsia="Times New Roman"/>
          <w:color w:val="0070C0"/>
          <w:sz w:val="24"/>
          <w:szCs w:val="24"/>
        </w:rPr>
      </w:pPr>
      <w:r>
        <w:rPr>
          <w:rFonts w:eastAsia="Times New Roman"/>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3 and Figs 7–9, available in the data/ directory at https://github.com/canslab1/BCAT. A step-by-step reproduction protocol is also available on protocols.io (DOI: 10.17504/protocols.io.261geykydv47/v1). We updated the Data Availability Statement accordingly.</w:t>
      </w:r>
    </w:p>
    <w:p w14:paraId="597C1FE8" w14:textId="77777777" w:rsidR="003E0F2E" w:rsidRPr="00D43B55" w:rsidRDefault="003E0F2E" w:rsidP="005F6E50">
      <w:pPr>
        <w:spacing w:afterLines="50" w:after="120"/>
        <w:rPr>
          <w:rFonts w:eastAsia="Times New Roman"/>
          <w:sz w:val="24"/>
          <w:szCs w:val="24"/>
        </w:rPr>
      </w:pPr>
    </w:p>
    <w:p w14:paraId="01EB5980" w14:textId="0597633E" w:rsidR="005150AD" w:rsidRPr="00D43B55" w:rsidRDefault="00000000" w:rsidP="005F6E50">
      <w:pPr>
        <w:pStyle w:val="a4"/>
        <w:numPr>
          <w:ilvl w:val="0"/>
          <w:numId w:val="7"/>
        </w:numPr>
        <w:spacing w:afterLines="50" w:after="120"/>
        <w:rPr>
          <w:rFonts w:eastAsia="Times New Roman"/>
          <w:sz w:val="24"/>
          <w:szCs w:val="24"/>
        </w:rPr>
      </w:pPr>
      <w:r>
        <w:rPr>
          <w:rFonts w:eastAsia="Times New Roman"/>
          <w:color w:val="404040"/>
          <w:sz w:val="24"/>
          <w:szCs w:val="24"/>
        </w:rPr>
        <w:t xml:space="preserve">We note that Figures 2, 4, 5, 6, 10 and 11 in your submission contain copyrighted images. We require you to either (1) present written permission from the copyright </w:t>
        <w:lastRenderedPageBreak/>
        <w:t>holder to publish these figures specifically under the CC BY 4.0 license, or (2) remove the figures from your submission.</w:t>
      </w:r>
    </w:p>
    <w:p w14:paraId="0110CF4D" w14:textId="77777777" w:rsidR="002A3058" w:rsidRPr="00D43B55" w:rsidRDefault="002A3058" w:rsidP="005F6E50">
      <w:pPr>
        <w:pStyle w:val="2"/>
        <w:spacing w:before="0" w:afterLines="50" w:after="120"/>
        <w:rPr>
          <w:b w:val="0"/>
          <w:bCs w:val="0"/>
        </w:rPr>
      </w:pPr>
      <w:r>
        <w:rPr>
          <w:b w:val="0"/>
          <w:bCs w:val="0"/>
        </w:rPr>
        <w:t xml:space="preserve">Response: </w:t>
      </w:r>
    </w:p>
    <w:p w14:paraId="40CB826F" w14:textId="09E0E8FE" w:rsidR="003E0F2E" w:rsidRPr="00D43B55" w:rsidRDefault="005F6E50" w:rsidP="003E0F2E">
      <w:pPr>
        <w:spacing w:afterLines="50" w:after="120"/>
        <w:rPr>
          <w:rFonts w:eastAsia="Times New Roman"/>
          <w:b/>
          <w:bCs/>
          <w:sz w:val="28"/>
          <w:szCs w:val="28"/>
        </w:rPr>
      </w:pPr>
      <w:r>
        <w:rPr>
          <w:rFonts w:eastAsia="Times New Roman"/>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br w:type="page"/>
      </w:r>
    </w:p>
    <w:p w14:paraId="09E628AB" w14:textId="7CE037D9" w:rsidR="005150AD" w:rsidRPr="00D43B55" w:rsidRDefault="00000000">
      <w:pPr>
        <w:pStyle w:val="1"/>
      </w:pPr>
      <w:r>
        <w:lastRenderedPageBreak/>
        <w:t>Part II: Response to Reviewer #1</w:t>
      </w:r>
    </w:p>
    <w:p w14:paraId="5DB2D4ED" w14:textId="77777777" w:rsidR="005150AD" w:rsidRPr="00D43B55" w:rsidRDefault="00000000">
      <w:pPr>
        <w:spacing w:after="160" w:line="360" w:lineRule="auto"/>
      </w:pPr>
      <w:r>
        <w:rPr>
          <w:rFonts w:eastAsia="Times New Roman"/>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D43B55" w:rsidRDefault="00000000">
      <w:pPr>
        <w:pStyle w:val="2"/>
      </w:pPr>
      <w:r>
        <w:t>R1-1. What Makes the Two Models Combine Organically?</w:t>
      </w:r>
    </w:p>
    <w:p w14:paraId="710F1CBB" w14:textId="77777777" w:rsidR="005150AD" w:rsidRPr="00D43B55" w:rsidRDefault="00000000">
      <w:pPr>
        <w:pBdr>
          <w:left w:val="single" w:sz="3" w:space="8" w:color="808080"/>
        </w:pBdr>
        <w:spacing w:after="160" w:line="360" w:lineRule="auto"/>
        <w:ind w:left="480"/>
      </w:pPr>
      <w:r>
        <w:rPr>
          <w:rFonts w:eastAsia="Times New Roman"/>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D43B55" w:rsidRDefault="00000000">
      <w:pPr>
        <w:pBdr>
          <w:left w:val="single" w:sz="3" w:space="8" w:color="808080"/>
        </w:pBdr>
        <w:spacing w:after="160" w:line="360" w:lineRule="auto"/>
        <w:ind w:left="480"/>
      </w:pPr>
      <w:r>
        <w:rPr>
          <w:rFonts w:eastAsia="Times New Roman"/>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D43B55" w:rsidRDefault="00000000">
      <w:pPr>
        <w:spacing w:after="160" w:line="360" w:lineRule="auto"/>
      </w:pPr>
      <w:r>
        <w:rPr>
          <w:rFonts w:eastAsia="Times New Roman"/>
        </w:rPr>
        <w:t>We agree that the original manuscript presented the two model components too modularly, leaving the reader to infer their interaction logic from the pseudocode. In the revised manuscript, we added two new paragraphs—one at the end of the Related Models section and one in the Emergent Properties of the Combined Model subsection within the Simulation Model Specifications section—that explain the conceptual logic underlying the coupling of bounded confidence opinion dynamics with adoption thresholds.</w:t>
      </w:r>
    </w:p>
    <w:p w14:paraId="64A93AEB" w14:textId="77777777" w:rsidR="005150AD" w:rsidRPr="00D43B55" w:rsidRDefault="00000000">
      <w:pPr>
        <w:spacing w:after="160" w:line="360" w:lineRule="auto"/>
      </w:pPr>
      <w:r>
        <w:rPr>
          <w:rFonts w:eastAsia="Times New Roman"/>
        </w:rPr>
        <w:t xml:space="preserve">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w:t>
        <w:lastRenderedPageBreak/>
        <w:t>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D43B55" w:rsidRDefault="00000000">
      <w:pPr>
        <w:spacing w:after="160" w:line="360" w:lineRule="auto"/>
      </w:pPr>
      <w:r>
        <w:rPr>
          <w:rFonts w:eastAsia="Times New Roman"/>
        </w:rPr>
        <w:t xml:space="preserve">Regarding point (b), we now identify emergent properties of the combined model that neither component produces alone. The most important is the </w:t>
      </w:r>
      <w:r>
        <w:rPr>
          <w:rFonts w:eastAsia="Times New Roman"/>
          <w:b/>
          <w:bCs/>
        </w:rPr>
        <w:t>bidirectional feedback loop between adoption status and opinion exchange</w:t>
      </w:r>
      <w:r>
        <w:rPr>
          <w:rFonts w:eastAsia="Times New Roman"/>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In the Emergent Properties of the Combined Model subsection within the Simulation Model Specifications section, two paragraphs identify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D43B55" w:rsidRDefault="005150AD">
      <w:pPr>
        <w:pBdr>
          <w:bottom w:val="single" w:sz="1" w:space="0" w:color="CCCCCC"/>
        </w:pBdr>
        <w:spacing w:before="120" w:after="120"/>
      </w:pPr>
    </w:p>
    <w:p w14:paraId="2BC66A59" w14:textId="77777777" w:rsidR="005150AD" w:rsidRPr="00D43B55" w:rsidRDefault="00000000">
      <w:pPr>
        <w:pStyle w:val="2"/>
      </w:pPr>
      <w:r>
        <w:lastRenderedPageBreak/>
        <w:t>R1-2. The Wedge Between Opinion and Adoption: Key Mechanisms</w:t>
      </w:r>
    </w:p>
    <w:p w14:paraId="75EAA91A" w14:textId="77777777" w:rsidR="005150AD" w:rsidRPr="00D43B55" w:rsidRDefault="00000000">
      <w:pPr>
        <w:pBdr>
          <w:left w:val="single" w:sz="3" w:space="8" w:color="808080"/>
        </w:pBdr>
        <w:spacing w:after="160" w:line="360" w:lineRule="auto"/>
        <w:ind w:left="480"/>
      </w:pPr>
      <w:r>
        <w:rPr>
          <w:rFonts w:eastAsia="Times New Roman"/>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D43B55" w:rsidRDefault="00000000">
      <w:pPr>
        <w:spacing w:after="160" w:line="360" w:lineRule="auto"/>
      </w:pPr>
      <w:r>
        <w:rPr>
          <w:rFonts w:eastAsia="Times New Roman"/>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10).</w:t>
      </w:r>
    </w:p>
    <w:p w14:paraId="5C30E0B9" w14:textId="77777777" w:rsidR="005150AD" w:rsidRPr="00D43B55" w:rsidRDefault="00000000">
      <w:pPr>
        <w:spacing w:after="160" w:line="360" w:lineRule="auto"/>
      </w:pPr>
      <w:r>
        <w:rPr>
          <w:rFonts w:eastAsia="Times New Roman"/>
          <w:b/>
          <w:bCs/>
        </w:rPr>
        <w:t xml:space="preserve">Experiment MD-A (Coordination Failure Isolated). </w:t>
      </w:r>
      <w:r>
        <w:rPr>
          <w:rFonts w:eastAsia="Times New Roman"/>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D43B55" w:rsidRDefault="00000000">
      <w:pPr>
        <w:spacing w:after="160" w:line="360" w:lineRule="auto"/>
      </w:pPr>
      <w:r>
        <w:rPr>
          <w:rFonts w:eastAsia="Times New Roman"/>
          <w:b/>
          <w:bCs/>
        </w:rPr>
        <w:t xml:space="preserve">Experiment MD-B (Opinion Clustering Isolated). </w:t>
      </w:r>
      <w:r>
        <w:rPr>
          <w:rFonts w:eastAsia="Times New Roman"/>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D43B55" w:rsidRDefault="00000000">
      <w:pPr>
        <w:spacing w:after="160" w:line="360" w:lineRule="auto"/>
      </w:pPr>
      <w:r>
        <w:rPr>
          <w:rFonts w:eastAsia="Times New Roman"/>
        </w:rPr>
        <w:t xml:space="preserve">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w:t>
        <w:lastRenderedPageBreak/>
        <w:t>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10 presents the two-panel decomposition. A new paragraph in the Discussion interprets the intervention implications of the two channels.</w:t>
      </w:r>
    </w:p>
    <w:p w14:paraId="5B303339" w14:textId="77777777" w:rsidR="005150AD" w:rsidRPr="00D43B55" w:rsidRDefault="005150AD">
      <w:pPr>
        <w:pBdr>
          <w:bottom w:val="single" w:sz="1" w:space="0" w:color="CCCCCC"/>
        </w:pBdr>
        <w:spacing w:before="120" w:after="120"/>
      </w:pPr>
    </w:p>
    <w:p w14:paraId="6329E64D" w14:textId="77777777" w:rsidR="005150AD" w:rsidRPr="00D43B55" w:rsidRDefault="00000000">
      <w:pPr>
        <w:pStyle w:val="2"/>
      </w:pPr>
      <w:r>
        <w:t>R1-3. Empirical Grounding</w:t>
      </w:r>
    </w:p>
    <w:p w14:paraId="5974F495" w14:textId="77777777" w:rsidR="005150AD" w:rsidRPr="00D43B55" w:rsidRDefault="00000000">
      <w:pPr>
        <w:pBdr>
          <w:left w:val="single" w:sz="3" w:space="8" w:color="808080"/>
        </w:pBdr>
        <w:spacing w:after="160" w:line="360" w:lineRule="auto"/>
        <w:ind w:left="480"/>
      </w:pPr>
      <w:r>
        <w:rPr>
          <w:rFonts w:eastAsia="Times New Roman"/>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D43B55" w:rsidRDefault="00000000">
      <w:pPr>
        <w:spacing w:after="160" w:line="360" w:lineRule="auto"/>
      </w:pPr>
      <w:r>
        <w:rPr>
          <w:rFonts w:eastAsia="Times New Roman"/>
        </w:rPr>
        <w:t>We agree that the motivating cases deserved deeper treatment. In the revised manuscript, we inserted 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D43B55" w:rsidRDefault="00000000">
      <w:pPr>
        <w:spacing w:after="160" w:line="360" w:lineRule="auto"/>
      </w:pPr>
      <w:r>
        <w:rPr>
          <w:rFonts w:eastAsia="Times New Roman"/>
        </w:rPr>
        <w:t xml:space="preserve">We discuss the Palm case after the avg-of-thresholds paragraph: mainstream consumers required </w:t>
        <w:lastRenderedPageBreak/>
        <w:t>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D43B55" w:rsidRDefault="00000000">
      <w:pPr>
        <w:spacing w:after="160" w:line="360" w:lineRule="auto"/>
      </w:pPr>
      <w:r>
        <w:rPr>
          <w:rFonts w:eastAsia="Times New Roman"/>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D43B55" w:rsidRDefault="00000000">
      <w:pPr>
        <w:spacing w:after="160" w:line="360" w:lineRule="auto"/>
      </w:pPr>
      <w:r>
        <w:rPr>
          <w:rFonts w:eastAsia="Times New Roman"/>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D43B55" w:rsidRDefault="00000000">
      <w:pPr>
        <w:spacing w:after="160" w:line="360" w:lineRule="auto"/>
      </w:pPr>
      <w:r>
        <w:rPr>
          <w:rFonts w:eastAsia="Times New Roman"/>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D43B55" w:rsidRDefault="005150AD">
      <w:pPr>
        <w:pBdr>
          <w:bottom w:val="single" w:sz="1" w:space="0" w:color="CCCCCC"/>
        </w:pBdr>
        <w:spacing w:before="120" w:after="120"/>
      </w:pPr>
    </w:p>
    <w:p w14:paraId="3AC0B4FA" w14:textId="77777777" w:rsidR="005150AD" w:rsidRPr="00D43B55" w:rsidRDefault="00000000">
      <w:pPr>
        <w:pStyle w:val="2"/>
      </w:pPr>
      <w:r>
        <w:t>R1-4. Alternative Theories and Distinguishing Predictions</w:t>
      </w:r>
    </w:p>
    <w:p w14:paraId="0DEBA3E1" w14:textId="77777777" w:rsidR="005150AD" w:rsidRPr="00D43B55" w:rsidRDefault="00000000">
      <w:pPr>
        <w:pBdr>
          <w:left w:val="single" w:sz="3" w:space="8" w:color="808080"/>
        </w:pBdr>
        <w:spacing w:after="160" w:line="360" w:lineRule="auto"/>
        <w:ind w:left="480"/>
      </w:pPr>
      <w:r>
        <w:rPr>
          <w:rFonts w:eastAsia="Times New Roman"/>
          <w:i/>
          <w:iCs/>
          <w:color w:val="404040"/>
        </w:rPr>
        <w:lastRenderedPageBreak/>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D43B55" w:rsidRDefault="00000000">
      <w:pPr>
        <w:spacing w:after="160" w:line="360" w:lineRule="auto"/>
      </w:pPr>
      <w:r>
        <w:rPr>
          <w:rFonts w:eastAsia="Times New Roman"/>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D43B55" w:rsidRDefault="00000000">
      <w:pPr>
        <w:spacing w:after="160" w:line="360" w:lineRule="auto"/>
      </w:pPr>
      <w:r>
        <w:rPr>
          <w:rFonts w:eastAsia="Times New Roman"/>
          <w:b/>
          <w:bCs/>
        </w:rPr>
        <w:t xml:space="preserve">Information Cascades (Banerjee, 1992). </w:t>
      </w:r>
      <w:r>
        <w:rPr>
          <w:rFonts w:eastAsia="Times New Roman"/>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D43B55" w:rsidRDefault="00000000">
      <w:pPr>
        <w:spacing w:after="160" w:line="360" w:lineRule="auto"/>
      </w:pPr>
      <w:r>
        <w:rPr>
          <w:rFonts w:eastAsia="Times New Roman"/>
          <w:b/>
          <w:bCs/>
        </w:rPr>
        <w:t xml:space="preserve">Network Externalities and Coordination Games (Katz &amp; Shapiro, 1985). </w:t>
      </w:r>
      <w:r>
        <w:rPr>
          <w:rFonts w:eastAsia="Times New Roman"/>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D43B55" w:rsidRDefault="00000000">
      <w:pPr>
        <w:spacing w:after="160" w:line="360" w:lineRule="auto"/>
      </w:pPr>
      <w:r>
        <w:rPr>
          <w:rFonts w:eastAsia="Times New Roman"/>
          <w:b/>
          <w:bCs/>
        </w:rPr>
        <w:t xml:space="preserve">Global Games (Morris &amp; Shin, 2003). </w:t>
      </w:r>
      <w:r>
        <w:rPr>
          <w:rFonts w:eastAsia="Times New Roman"/>
        </w:rPr>
        <w:t xml:space="preserve">In the global games framework, coordination failure arises from higher-order belief uncertainty: even when all agents hold favorable attitudes, </w:t>
        <w:lastRenderedPageBreak/>
        <w:t>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D43B55" w:rsidRDefault="00000000">
      <w:pPr>
        <w:spacing w:after="160" w:line="360" w:lineRule="auto"/>
      </w:pPr>
      <w:r>
        <w:rPr>
          <w:rFonts w:eastAsia="Times New Roman"/>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Six new paragraphs have been added to the Discussion section comparing BCAT 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3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D43B55" w:rsidRDefault="005150AD">
      <w:pPr>
        <w:pBdr>
          <w:bottom w:val="single" w:sz="1" w:space="0" w:color="CCCCCC"/>
        </w:pBdr>
        <w:spacing w:before="120" w:after="120"/>
      </w:pPr>
    </w:p>
    <w:p w14:paraId="042DE800" w14:textId="77777777" w:rsidR="005150AD" w:rsidRPr="00D43B55" w:rsidRDefault="00000000">
      <w:pPr>
        <w:pStyle w:val="2"/>
      </w:pPr>
      <w:r>
        <w:t>R1-Minor. Reference Error: Gong et al. (2020)</w:t>
      </w:r>
    </w:p>
    <w:p w14:paraId="7029F8C7" w14:textId="77777777" w:rsidR="005150AD" w:rsidRPr="00D43B55" w:rsidRDefault="00000000">
      <w:pPr>
        <w:pBdr>
          <w:left w:val="single" w:sz="3" w:space="8" w:color="808080"/>
        </w:pBdr>
        <w:spacing w:after="160" w:line="360" w:lineRule="auto"/>
        <w:ind w:left="480"/>
      </w:pPr>
      <w:r>
        <w:rPr>
          <w:rFonts w:eastAsia="Times New Roman"/>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D43B55" w:rsidRDefault="00000000">
      <w:pPr>
        <w:spacing w:after="160" w:line="360" w:lineRule="auto"/>
      </w:pPr>
      <w:r>
        <w:rPr>
          <w:rFonts w:eastAsia="Times New Roman"/>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w:t>
      </w:r>
      <w:r>
        <w:rPr>
          <w:rFonts w:ascii="新細明體" w:eastAsia="新細明體" w:hAnsi="新細明體" w:cs="新細明體" w:hint="eastAsia"/>
        </w:rPr>
        <w:t>管理科学</w:t>
      </w:r>
      <w:r>
        <w:rPr>
          <w:rFonts w:eastAsia="Times New Roman"/>
        </w:rPr>
        <w:t xml:space="preserve">), 2020, volume 33, issue 2, pages 114–126. We corrected this in the revised manuscript and conducted a systematic review </w:t>
        <w:lastRenderedPageBreak/>
        <w:t>of all remaining reference entries, confirming that the error is isolated to this single entry.</w:t>
      </w:r>
    </w:p>
    <w:p w14:paraId="65932DB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with the verified title and complete bibliographic information in the References section.</w:t>
      </w:r>
    </w:p>
    <w:p w14:paraId="5A4EED6C" w14:textId="77777777" w:rsidR="005150AD" w:rsidRPr="00D43B55" w:rsidRDefault="00000000">
      <w:r>
        <w:br w:type="page"/>
      </w:r>
    </w:p>
    <w:p w14:paraId="20F73DCD" w14:textId="77777777" w:rsidR="005150AD" w:rsidRPr="00D43B55" w:rsidRDefault="00000000">
      <w:pPr>
        <w:pStyle w:val="1"/>
      </w:pPr>
      <w:r>
        <w:lastRenderedPageBreak/>
        <w:t>Part III: Response to Reviewer #2</w:t>
      </w:r>
    </w:p>
    <w:p w14:paraId="480A94B9" w14:textId="77777777" w:rsidR="005150AD" w:rsidRPr="00D43B55" w:rsidRDefault="00000000">
      <w:pPr>
        <w:spacing w:after="160" w:line="360" w:lineRule="auto"/>
      </w:pPr>
      <w:r>
        <w:rPr>
          <w:rFonts w:eastAsia="Times New Roman"/>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D43B55" w:rsidRDefault="00000000">
      <w:pPr>
        <w:pStyle w:val="2"/>
      </w:pPr>
      <w:r>
        <w:t>R2-1. Discrepancy Between Deffuant Model and Simulation Implementation</w:t>
      </w:r>
    </w:p>
    <w:p w14:paraId="4B94A8FF" w14:textId="77777777" w:rsidR="005150AD" w:rsidRPr="00D43B55" w:rsidRDefault="00000000">
      <w:pPr>
        <w:pBdr>
          <w:left w:val="single" w:sz="3" w:space="8" w:color="808080"/>
        </w:pBdr>
        <w:spacing w:after="160" w:line="360" w:lineRule="auto"/>
        <w:ind w:left="480"/>
      </w:pPr>
      <w:r>
        <w:rPr>
          <w:rFonts w:eastAsia="Times New Roman"/>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D43B55" w:rsidRDefault="00000000">
      <w:pPr>
        <w:spacing w:after="160" w:line="360" w:lineRule="auto"/>
      </w:pPr>
      <w:r>
        <w:rPr>
          <w:rFonts w:eastAsia="Times New Roman"/>
        </w:rPr>
        <w:t>We thank the reviewer for this technically precise observation. We address it in two parts.</w:t>
      </w:r>
    </w:p>
    <w:p w14:paraId="7EE327F9" w14:textId="77777777" w:rsidR="005150AD" w:rsidRPr="00D43B55" w:rsidRDefault="00000000">
      <w:pPr>
        <w:spacing w:after="160" w:line="360" w:lineRule="auto"/>
      </w:pPr>
      <w:r>
        <w:rPr>
          <w:rFonts w:eastAsia="Times New Roman"/>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D43B55" w:rsidRDefault="00000000">
      <w:pPr>
        <w:spacing w:after="160" w:line="360" w:lineRule="auto"/>
      </w:pPr>
      <w:r>
        <w:rPr>
          <w:rFonts w:eastAsia="Times New Roman"/>
          <w:b/>
          <w:bCs/>
        </w:rPr>
        <w:t xml:space="preserve">Part 2: The opinion update mechanism corresponds to the simple bounded confidence Deffuant model, not the Relative Agreement variant. </w:t>
      </w:r>
      <w:r>
        <w:rPr>
          <w:rFonts w:eastAsia="Times New Roman"/>
        </w:rPr>
        <w:t xml:space="preserve">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w:t>
        <w:lastRenderedPageBreak/>
        <w:t>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D43B55" w:rsidRDefault="00000000">
      <w:pPr>
        <w:spacing w:after="160" w:line="360" w:lineRule="auto"/>
      </w:pPr>
      <w:r>
        <w:rPr>
          <w:rFonts w:eastAsia="Times New Roman"/>
          <w:b/>
          <w:bCs/>
        </w:rPr>
        <w:t xml:space="preserve">Manuscript changes: </w:t>
      </w:r>
      <w:r>
        <w:rPr>
          <w:rFonts w:eastAsia="Times New Roman"/>
        </w:rPr>
        <w:t>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1) summarizes the structural relationships among the HKmodel,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2 now includes a note on the integer-to-continuous mapping. These clarifications affect the theoretical positioning of the model but do not require any changes to the simulation itself.</w:t>
      </w:r>
    </w:p>
    <w:p w14:paraId="6169ABFE" w14:textId="12517D4E" w:rsidR="005150AD" w:rsidRPr="00D43B55" w:rsidRDefault="00000000">
      <w:pPr>
        <w:spacing w:after="160" w:line="360" w:lineRule="auto"/>
      </w:pPr>
      <w:r>
        <w:rPr>
          <w:rFonts w:eastAsia="Times New Roman"/>
          <w:b/>
          <w:bCs/>
        </w:rPr>
        <w:t xml:space="preserve">We emphasize </w:t>
      </w:r>
      <w:r>
        <w:rPr>
          <w:rFonts w:eastAsia="Times New Roman"/>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(revised Section 2, paragraphs on Deffuant model): </w:t>
      </w:r>
      <w:r>
        <w:rPr>
          <w:rFonts w:eastAsia="Times New Roman"/>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2 now includes a note on the integer-to-continuous mapping for attitude values.</w:t>
      </w:r>
    </w:p>
    <w:p w14:paraId="242599CC" w14:textId="77777777" w:rsidR="005150AD" w:rsidRPr="00D43B55" w:rsidRDefault="00000000">
      <w:pPr>
        <w:pBdr>
          <w:left w:val="single" w:sz="3" w:space="8" w:color="2E75B6"/>
        </w:pBdr>
        <w:spacing w:after="160" w:line="360" w:lineRule="auto"/>
        <w:ind w:left="480"/>
      </w:pPr>
      <w:r>
        <w:rPr>
          <w:rFonts w:eastAsia="Times New Roman"/>
          <w:b/>
          <w:bCs/>
          <w:color w:val="2E75B6"/>
        </w:rPr>
        <w:lastRenderedPageBreak/>
        <w:t>Manuscript change (new Table 1):</w:t>
      </w:r>
      <w:r>
        <w:rPr>
          <w:rFonts w:eastAsia="Times New Roman"/>
        </w:rPr>
        <w:t>A comparative table (Table 1)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D43B55" w:rsidRDefault="005150AD">
      <w:pPr>
        <w:pBdr>
          <w:bottom w:val="single" w:sz="1" w:space="0" w:color="CCCCCC"/>
        </w:pBdr>
        <w:spacing w:before="120" w:after="120"/>
      </w:pPr>
    </w:p>
    <w:p w14:paraId="342874E9" w14:textId="77777777" w:rsidR="005150AD" w:rsidRPr="00D43B55" w:rsidRDefault="00000000">
      <w:pPr>
        <w:pStyle w:val="2"/>
      </w:pPr>
      <w:r>
        <w:t>R2-2. Update Scheme: Synchronous vs. Asynchronous</w:t>
      </w:r>
    </w:p>
    <w:p w14:paraId="0F19DDC6" w14:textId="77777777" w:rsidR="005150AD" w:rsidRPr="00D43B55" w:rsidRDefault="00000000">
      <w:pPr>
        <w:pBdr>
          <w:left w:val="single" w:sz="3" w:space="8" w:color="808080"/>
        </w:pBdr>
        <w:spacing w:after="160" w:line="360" w:lineRule="auto"/>
        <w:ind w:left="480"/>
      </w:pPr>
      <w:r>
        <w:rPr>
          <w:rFonts w:eastAsia="Times New Roman"/>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D43B55" w:rsidRDefault="00000000">
      <w:pPr>
        <w:spacing w:after="160" w:line="360" w:lineRule="auto"/>
      </w:pPr>
      <w:r>
        <w:rPr>
          <w:rFonts w:eastAsia="Times New Roman"/>
        </w:rPr>
        <w:t>We thank the reviewer for raising this methodological point. The BCAT model uses a pseudo-concurrent update scheme, implemented via the ask-concurrent command in NetLogo 4.0.5. Under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7777777" w:rsidR="005150AD" w:rsidRPr="00D43B55" w:rsidRDefault="00000000">
      <w:pPr>
        <w:spacing w:after="160" w:line="360" w:lineRule="auto"/>
      </w:pPr>
      <w:r>
        <w:rPr>
          <w:rFonts w:eastAsia="Times New Roman"/>
        </w:rPr>
        <w:t>We chose this scheme because the random reshuffling of execution order at each tick ensures that no agent systematically benefits from its position in the processing sequence. The randomness in the simulation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reported in the Results section reflect model parameter effects rather than systematic scheduling artifacts.</w:t>
      </w:r>
    </w:p>
    <w:p w14:paraId="75E2D92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Algorithm 3 description): </w:t>
      </w:r>
      <w:r>
        <w:rPr>
          <w:rFonts w:eastAsia="Times New Roman"/>
        </w:rPr>
        <w:t>Two new paragraphs have been added to the Simulation Model Specifications section, immediately following the adoption decision-making description. The first paragraph explains the pseudo-concurrent update semantics of ask-concurrent (random-order sequential execution with immediate writes) and confirms that the Python 3 reimplementation faithfully reproduces this behavior. The second paragraph states the methodological rationale: random reshuffling of execution order at each tick prevents systematic scheduling bias, and identifies four controlled stochastic elements ensuring that sensitivity analysis results reported in the Results section reflect model parameter effects.</w:t>
      </w:r>
    </w:p>
    <w:p w14:paraId="1AB271E9"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 </w:t>
      </w:r>
    </w:p>
    <w:p w14:paraId="4AC8B41D" w14:textId="77777777" w:rsidR="005150AD" w:rsidRPr="00D43B55" w:rsidRDefault="005150AD">
      <w:pPr>
        <w:pBdr>
          <w:bottom w:val="single" w:sz="1" w:space="0" w:color="CCCCCC"/>
        </w:pBdr>
        <w:spacing w:before="120" w:after="120"/>
      </w:pPr>
    </w:p>
    <w:p w14:paraId="10B2866B" w14:textId="77777777" w:rsidR="005150AD" w:rsidRPr="00D43B55" w:rsidRDefault="00000000">
      <w:pPr>
        <w:pStyle w:val="2"/>
      </w:pPr>
      <w:r>
        <w:t>R2-3. Adoption Threshold Scaling (0–100 vs. 0–1)</w:t>
      </w:r>
    </w:p>
    <w:p w14:paraId="2BDB6E18" w14:textId="77777777" w:rsidR="005150AD" w:rsidRPr="00D43B55" w:rsidRDefault="00000000">
      <w:pPr>
        <w:pBdr>
          <w:left w:val="single" w:sz="3" w:space="8" w:color="808080"/>
        </w:pBdr>
        <w:spacing w:after="160" w:line="360" w:lineRule="auto"/>
        <w:ind w:left="480"/>
      </w:pPr>
      <w:r>
        <w:rPr>
          <w:rFonts w:eastAsia="Times New Roman"/>
          <w:i/>
          <w:iCs/>
          <w:color w:val="404040"/>
        </w:rPr>
        <w:t>In Algorithm 3, the adoption threshold is treated as a percentage (0–100). In the standard diffusion literature (e.g., Watts 2003, Valente 1996), the threshold is strictly a fraction in (0–1). While not a fatal error, this non-standard scaling complicates comparisons with existing literature and makes the interpretation of Table 3 potentially misleading.</w:t>
      </w:r>
    </w:p>
    <w:p w14:paraId="1C1B638A" w14:textId="77777777" w:rsidR="005150AD" w:rsidRPr="00D43B55" w:rsidRDefault="00000000">
      <w:pPr>
        <w:spacing w:after="160" w:line="360" w:lineRule="auto"/>
      </w:pPr>
      <w:r>
        <w:rPr>
          <w:rFonts w:eastAsia="Times New Roman"/>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2003;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D43B55" w:rsidRDefault="00000000">
      <w:pPr>
        <w:spacing w:after="160" w:line="360" w:lineRule="auto"/>
      </w:pPr>
      <w:r>
        <w:rPr>
          <w:rFonts w:eastAsia="Times New Roman"/>
        </w:rPr>
        <w:t>We acknowledge that the original manuscript did not make this scaling equivalence explicit. In the revised manuscript, we added a clarifying statement in the Table 2 parameter description for avg-of-thresholds and std-of-thresholds, and appended a footnote to Table 3 providing the fractional equivalents for the threshold parameter values used in the sensitivity analysis. No changes to the simulation code or model behavior are required.</w:t>
      </w:r>
    </w:p>
    <w:p w14:paraId="14CE817B"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threshold definition): </w:t>
      </w:r>
      <w:r>
        <w:rPr>
          <w:rFonts w:eastAsia="Times New Roman"/>
        </w:rPr>
        <w:t>The Table 2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2003; Valente, 1996). For example, avg-of-thresholds = 40 corresponds to a mean fractional threshold of θ = 0.40, requiring at least 40% of an agent’s neighbors to have adopted before the agent itself adopts.”</w:t>
      </w:r>
    </w:p>
    <w:p w14:paraId="514A00CF"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A footnote has been added to Table 3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D43B55" w:rsidRDefault="005150AD">
      <w:pPr>
        <w:pBdr>
          <w:bottom w:val="single" w:sz="1" w:space="0" w:color="CCCCCC"/>
        </w:pBdr>
        <w:spacing w:before="120" w:after="120"/>
      </w:pPr>
    </w:p>
    <w:p w14:paraId="70F342A8" w14:textId="77777777" w:rsidR="005150AD" w:rsidRPr="00D43B55" w:rsidRDefault="00000000">
      <w:pPr>
        <w:pStyle w:val="2"/>
      </w:pPr>
      <w:r>
        <w:t>R2-4. Incomplete Statistical Reporting in Table 3</w:t>
      </w:r>
    </w:p>
    <w:p w14:paraId="3F5123DD" w14:textId="77777777" w:rsidR="005150AD" w:rsidRPr="00D43B55" w:rsidRDefault="00000000">
      <w:pPr>
        <w:pBdr>
          <w:left w:val="single" w:sz="3" w:space="8" w:color="808080"/>
        </w:pBdr>
        <w:spacing w:after="160" w:line="360" w:lineRule="auto"/>
        <w:ind w:left="480"/>
      </w:pPr>
      <w:r>
        <w:rPr>
          <w:rFonts w:eastAsia="Times New Roman"/>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D43B55" w:rsidRDefault="00000000">
      <w:pPr>
        <w:spacing w:after="160" w:line="360" w:lineRule="auto"/>
      </w:pPr>
      <w:r>
        <w:rPr>
          <w:rFonts w:eastAsia="Times New Roman"/>
          <w:b/>
          <w:bCs/>
        </w:rPr>
        <w:t xml:space="preserve">(a) Algorithm identification. </w:t>
      </w:r>
      <w:r>
        <w:rPr>
          <w:rFonts w:eastAsia="Times New Roman"/>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D43B55" w:rsidRDefault="00000000">
      <w:pPr>
        <w:spacing w:after="160" w:line="360" w:lineRule="auto"/>
      </w:pPr>
      <w:r>
        <w:rPr>
          <w:rFonts w:eastAsia="Times New Roman"/>
          <w:b/>
          <w:bCs/>
        </w:rPr>
        <w:t xml:space="preserve">(b) Uncertainty reporting. </w:t>
      </w:r>
      <w:r>
        <w:rPr>
          <w:rFonts w:eastAsia="Times New Roman"/>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D43B55" w:rsidRDefault="00000000">
      <w:pPr>
        <w:spacing w:after="160" w:line="360" w:lineRule="auto"/>
      </w:pPr>
      <w:r>
        <w:rPr>
          <w:rFonts w:eastAsia="Times New Roman"/>
          <w:b/>
          <w:bCs/>
        </w:rPr>
        <w:t xml:space="preserve">(c) Data alignment verification. </w:t>
      </w:r>
      <w:r>
        <w:rPr>
          <w:rFonts w:eastAsia="Times New Roman"/>
        </w:rPr>
        <w:t xml:space="preserve">Following the reviewer’s prompt, we conducted a systematic audit of all values in Table 3 and discovered that the Parameter Importance section contained a copy-paste error: the values were inadvertently duplicated from the Standardized Regression </w:t>
        <w:lastRenderedPageBreak/>
        <w:t>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(Sensitivity Analysis text):</w:t>
      </w:r>
      <w:r>
        <w:rPr>
          <w:rFonts w:eastAsia="Times New Roman"/>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D43B55" w:rsidRDefault="005150AD">
      <w:pPr>
        <w:pBdr>
          <w:bottom w:val="single" w:sz="1" w:space="0" w:color="CCCCCC"/>
        </w:pBdr>
        <w:spacing w:before="120" w:after="120"/>
      </w:pPr>
    </w:p>
    <w:p w14:paraId="151EE3F8" w14:textId="77777777" w:rsidR="005150AD" w:rsidRPr="00D43B55" w:rsidRDefault="00000000">
      <w:pPr>
        <w:pStyle w:val="2"/>
      </w:pPr>
      <w:r>
        <w:t>R2-5. Finite-Size Scaling Analysis</w:t>
      </w:r>
    </w:p>
    <w:p w14:paraId="5D1C7024" w14:textId="77777777" w:rsidR="005150AD" w:rsidRPr="00D43B55" w:rsidRDefault="00000000">
      <w:pPr>
        <w:pBdr>
          <w:left w:val="single" w:sz="3" w:space="8" w:color="808080"/>
        </w:pBdr>
        <w:spacing w:after="160" w:line="360" w:lineRule="auto"/>
        <w:ind w:left="480"/>
      </w:pPr>
      <w:r>
        <w:rPr>
          <w:rFonts w:eastAsia="Times New Roman"/>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D43B55" w:rsidRDefault="00000000">
      <w:pPr>
        <w:spacing w:after="160" w:line="360" w:lineRule="auto"/>
      </w:pPr>
      <w:r>
        <w:rPr>
          <w:rFonts w:eastAsia="Times New Roman"/>
        </w:rPr>
        <w:t xml:space="preserve">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w:t>
        <w:lastRenderedPageBreak/>
        <w:t>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D43B55" w:rsidRDefault="005150AD">
      <w:pPr>
        <w:spacing w:after="160" w:line="360" w:lineRule="auto"/>
      </w:pPr>
    </w:p>
    <w:p w14:paraId="13D63D13" w14:textId="77777777" w:rsidR="005150AD" w:rsidRPr="00D43B55" w:rsidRDefault="005150AD">
      <w:pPr>
        <w:spacing w:after="160" w:line="360" w:lineRule="auto"/>
      </w:pPr>
    </w:p>
    <w:p w14:paraId="1CF1AFB0"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D43B55" w:rsidRDefault="005150AD">
      <w:pPr>
        <w:pBdr>
          <w:bottom w:val="single" w:sz="1" w:space="0" w:color="CCCCCC"/>
        </w:pBdr>
        <w:spacing w:before="120" w:after="120"/>
      </w:pPr>
    </w:p>
    <w:p w14:paraId="7DFC2357" w14:textId="77777777" w:rsidR="005150AD" w:rsidRPr="00D43B55" w:rsidRDefault="00000000">
      <w:pPr>
        <w:pStyle w:val="2"/>
      </w:pPr>
      <w:r>
        <w:t>R2-6. Operational Definition of Critical Mass</w:t>
      </w:r>
    </w:p>
    <w:p w14:paraId="4CE4BF29" w14:textId="77777777" w:rsidR="005150AD" w:rsidRPr="00D43B55" w:rsidRDefault="00000000">
      <w:pPr>
        <w:pBdr>
          <w:left w:val="single" w:sz="3" w:space="8" w:color="808080"/>
        </w:pBdr>
        <w:spacing w:after="160" w:line="360" w:lineRule="auto"/>
        <w:ind w:left="480"/>
      </w:pPr>
      <w:r>
        <w:rPr>
          <w:rFonts w:eastAsia="Times New Roman"/>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D43B55" w:rsidRDefault="00000000">
      <w:pPr>
        <w:spacing w:after="160" w:line="360" w:lineRule="auto"/>
      </w:pPr>
      <w:r>
        <w:rPr>
          <w:rFonts w:eastAsia="Times New Roman"/>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D43B55" w:rsidRDefault="00000000">
      <w:pPr>
        <w:spacing w:after="160" w:line="360" w:lineRule="auto"/>
      </w:pPr>
      <w:r>
        <w:rPr>
          <w:rFonts w:eastAsia="Times New Roman"/>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D43B55" w:rsidRDefault="00000000">
      <w:pPr>
        <w:spacing w:after="160" w:line="360" w:lineRule="auto"/>
      </w:pPr>
      <w:r>
        <w:rPr>
          <w:rFonts w:eastAsia="Times New Roman"/>
        </w:rPr>
        <w:lastRenderedPageBreak/>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(Results, evaluation metrics subsection): </w:t>
      </w:r>
      <w:r>
        <w:rPr>
          <w:rFonts w:eastAsia="Times New Roman"/>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D43B55" w:rsidRDefault="005150AD">
      <w:pPr>
        <w:pBdr>
          <w:left w:val="single" w:sz="3" w:space="8" w:color="2E75B6"/>
        </w:pBdr>
        <w:spacing w:after="160" w:line="360" w:lineRule="auto"/>
        <w:ind w:left="480"/>
      </w:pPr>
    </w:p>
    <w:p w14:paraId="626D4444" w14:textId="77777777" w:rsidR="005150AD" w:rsidRPr="00D43B55" w:rsidRDefault="005150AD">
      <w:pPr>
        <w:pBdr>
          <w:bottom w:val="single" w:sz="1" w:space="0" w:color="CCCCCC"/>
        </w:pBdr>
        <w:spacing w:before="120" w:after="120"/>
      </w:pPr>
    </w:p>
    <w:p w14:paraId="14E0BFBE" w14:textId="77777777" w:rsidR="005150AD" w:rsidRPr="00D43B55" w:rsidRDefault="00000000">
      <w:pPr>
        <w:pStyle w:val="2"/>
      </w:pPr>
      <w:r>
        <w:t>R2-7. Real-World Cases and Comparison with Alternative Coupled Models</w:t>
      </w:r>
    </w:p>
    <w:p w14:paraId="0D28AA1A" w14:textId="77777777" w:rsidR="005150AD" w:rsidRPr="00D43B55" w:rsidRDefault="00000000">
      <w:pPr>
        <w:pBdr>
          <w:left w:val="single" w:sz="3" w:space="8" w:color="808080"/>
        </w:pBdr>
        <w:spacing w:after="160" w:line="360" w:lineRule="auto"/>
        <w:ind w:left="480"/>
      </w:pPr>
      <w:r>
        <w:rPr>
          <w:rFonts w:eastAsia="Times New Roman"/>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D43B55" w:rsidRDefault="00000000">
      <w:pPr>
        <w:spacing w:after="160" w:line="360" w:lineRule="auto"/>
      </w:pPr>
      <w:r>
        <w:rPr>
          <w:rFonts w:eastAsia="Times New Roman"/>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D43B55" w:rsidRDefault="00000000">
      <w:pPr>
        <w:spacing w:after="160" w:line="360" w:lineRule="auto"/>
      </w:pPr>
      <w:r>
        <w:rPr>
          <w:rFonts w:eastAsia="Times New Roman"/>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D43B55" w:rsidRDefault="00000000">
      <w:pPr>
        <w:spacing w:after="160" w:line="360" w:lineRule="auto"/>
      </w:pPr>
      <w:r>
        <w:rPr>
          <w:rFonts w:eastAsia="Times New Roman"/>
          <w:b/>
          <w:bCs/>
        </w:rPr>
        <w:t xml:space="preserve">Voter models with inertia </w:t>
      </w:r>
      <w:r>
        <w:rPr>
          <w:rFonts w:eastAsia="Times New Roman"/>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D43B55" w:rsidRDefault="00000000">
      <w:pPr>
        <w:spacing w:after="160" w:line="360" w:lineRule="auto"/>
      </w:pPr>
      <w:r>
        <w:rPr>
          <w:rFonts w:eastAsia="Times New Roman"/>
          <w:b/>
          <w:bCs/>
        </w:rPr>
        <w:lastRenderedPageBreak/>
        <w:t xml:space="preserve">SIS/SIR epidemic frameworks </w:t>
      </w:r>
      <w:r>
        <w:rPr>
          <w:rFonts w:eastAsia="Times New Roman"/>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(Discussion, after alternative theories paragraphs):</w:t>
      </w:r>
      <w:r>
        <w:rPr>
          <w:rFonts w:eastAsia="Times New Roman"/>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D43B55" w:rsidRDefault="005150AD">
      <w:pPr>
        <w:pBdr>
          <w:bottom w:val="single" w:sz="1" w:space="0" w:color="CCCCCC"/>
        </w:pBdr>
        <w:spacing w:before="120" w:after="120"/>
      </w:pPr>
    </w:p>
    <w:p w14:paraId="49493E9B" w14:textId="77777777" w:rsidR="005150AD" w:rsidRPr="00D43B55" w:rsidRDefault="00000000">
      <w:pPr>
        <w:pStyle w:val="2"/>
      </w:pPr>
      <w:r>
        <w:t>R2-8. Reference Error: Gong et al. (2020)</w:t>
      </w:r>
    </w:p>
    <w:p w14:paraId="19F3AE28" w14:textId="77777777" w:rsidR="005150AD" w:rsidRPr="00D43B55" w:rsidRDefault="00000000">
      <w:pPr>
        <w:pBdr>
          <w:left w:val="single" w:sz="3" w:space="8" w:color="808080"/>
        </w:pBdr>
        <w:spacing w:after="160" w:line="360" w:lineRule="auto"/>
        <w:ind w:left="480"/>
      </w:pPr>
      <w:r>
        <w:rPr>
          <w:rFonts w:eastAsia="Times New Roman"/>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D43B55" w:rsidRDefault="00000000">
      <w:pPr>
        <w:spacing w:after="160" w:line="360" w:lineRule="auto"/>
      </w:pPr>
      <w:r>
        <w:rPr>
          <w:rFonts w:eastAsia="Times New Roman"/>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See response to R1-Minor for details.</w:t>
      </w:r>
    </w:p>
    <w:p w14:paraId="6E46947A" w14:textId="77777777" w:rsidR="005150AD" w:rsidRPr="00D43B55" w:rsidRDefault="00000000">
      <w:r>
        <w:br w:type="page"/>
      </w:r>
    </w:p>
    <w:p w14:paraId="24BB113F" w14:textId="77777777" w:rsidR="005150AD" w:rsidRPr="00D43B55" w:rsidRDefault="00000000">
      <w:pPr>
        <w:pStyle w:val="1"/>
      </w:pPr>
      <w:r>
        <w:lastRenderedPageBreak/>
        <w:t>Part IV: Summary of All Manuscript Changes</w:t>
      </w:r>
    </w:p>
    <w:p w14:paraId="37915A5B" w14:textId="77777777" w:rsidR="005150AD" w:rsidRPr="00D43B55" w:rsidRDefault="00000000">
      <w:pPr>
        <w:spacing w:after="160" w:line="360" w:lineRule="auto"/>
      </w:pPr>
      <w:r>
        <w:rPr>
          <w:rFonts w:eastAsia="Times New Roman"/>
        </w:rPr>
        <w:t>For the convenience of the reviewers and the editor, we summarize below all structural and substantive changes made to the revised manuscript:</w:t>
      </w:r>
    </w:p>
    <w:p w14:paraId="5E441EF0" w14:textId="77777777" w:rsidR="005150AD" w:rsidRPr="00D43B55" w:rsidRDefault="00000000">
      <w:pPr>
        <w:spacing w:after="120" w:line="340" w:lineRule="auto"/>
        <w:ind w:left="360" w:hanging="360"/>
      </w:pPr>
      <w:r>
        <w:rPr>
          <w:rFonts w:eastAsia="Times New Roman"/>
          <w:b/>
          <w:bCs/>
        </w:rPr>
        <w:t xml:space="preserve">1. </w:t>
      </w:r>
      <w:r>
        <w:rPr>
          <w:rFonts w:eastAsia="Times New Roman"/>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D43B55" w:rsidRDefault="00000000">
      <w:pPr>
        <w:spacing w:after="120" w:line="340" w:lineRule="auto"/>
        <w:ind w:left="360" w:hanging="360"/>
      </w:pPr>
      <w:r>
        <w:rPr>
          <w:rFonts w:eastAsia="Times New Roman"/>
          <w:b/>
          <w:bCs/>
        </w:rPr>
        <w:t xml:space="preserve">2. </w:t>
      </w:r>
      <w:r>
        <w:rPr>
          <w:rFonts w:eastAsia="Times New Roman"/>
        </w:rPr>
        <w:t>Revised Related Models section: Distinguished the Deffuant RA model (Equations 1–2, retained as literature context) from the BCAT implementation (simple Deffuant BC variant); new positioning paragraph and Table 1 comparing HK, Deffuant RA, and BCAT across eight dimensions; rewritten Algorithm 3 description with explicit update rule; Deffuant et al. (2000) reference added. (Responding to R2-1)</w:t>
      </w:r>
    </w:p>
    <w:p w14:paraId="6B0112BF" w14:textId="77777777" w:rsidR="005150AD" w:rsidRPr="00D43B55" w:rsidRDefault="00000000">
      <w:pPr>
        <w:spacing w:after="120" w:line="340" w:lineRule="auto"/>
        <w:ind w:left="360" w:hanging="360"/>
      </w:pPr>
      <w:r>
        <w:rPr>
          <w:rFonts w:eastAsia="Times New Roman"/>
          <w:b/>
          <w:bCs/>
        </w:rPr>
        <w:t xml:space="preserve">3. </w:t>
      </w:r>
      <w:r>
        <w:rPr>
          <w:rFonts w:eastAsia="Times New Roman"/>
        </w:rPr>
        <w:t>Revised Simulation Model Specifications section: Relocated Evaluation Indicators (FRI, GSI, critical point definitions) and Emergent Properties (dual-filter mechanism, feedback loop) from Results to end of this section, ensuring all terms are defined before first use. Added pseudo-concurrent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D43B55" w:rsidRDefault="00000000">
      <w:pPr>
        <w:spacing w:after="120" w:line="340" w:lineRule="auto"/>
        <w:ind w:left="360" w:hanging="360"/>
      </w:pPr>
      <w:r>
        <w:rPr>
          <w:rFonts w:eastAsia="Times New Roman"/>
          <w:b/>
          <w:bCs/>
        </w:rPr>
        <w:t xml:space="preserve">4. </w:t>
      </w:r>
      <w:r>
        <w:rPr>
          <w:rFonts w:eastAsia="Times New Roman"/>
        </w:rPr>
        <w:t>New subsection “Mechanism decomposition: Coordination failure versus opinion clustering” in Results — three controlled experiments (MD-A/B/C, 30,000 runs) with new Fig 10, plus new Discussion paragraph on intervention implications. (Responding to R1-2)</w:t>
      </w:r>
    </w:p>
    <w:p w14:paraId="60C9F0F3" w14:textId="77777777" w:rsidR="005150AD" w:rsidRPr="00D43B55" w:rsidRDefault="00000000">
      <w:pPr>
        <w:spacing w:after="120" w:line="340" w:lineRule="auto"/>
        <w:ind w:left="360" w:hanging="360"/>
      </w:pPr>
      <w:r>
        <w:rPr>
          <w:rFonts w:eastAsia="Times New Roman"/>
          <w:b/>
          <w:bCs/>
        </w:rPr>
        <w:t xml:space="preserve">5. </w:t>
      </w:r>
      <w:r>
        <w:rPr>
          <w:rFonts w:eastAsia="Times New Roman"/>
        </w:rPr>
        <w:t>Finite-size scaling note added to sensitivity analysis subsection — experiments at N=900, 1,600, and 2,500 confirm robustness of all qualitative phenomena. (Responding to R2-5)</w:t>
      </w:r>
    </w:p>
    <w:p w14:paraId="3E2D7CBC" w14:textId="77777777" w:rsidR="005150AD" w:rsidRPr="00D43B55" w:rsidRDefault="00000000">
      <w:pPr>
        <w:spacing w:after="120" w:line="340" w:lineRule="auto"/>
        <w:ind w:left="360" w:hanging="360"/>
      </w:pPr>
      <w:r>
        <w:rPr>
          <w:rFonts w:eastAsia="Times New Roman"/>
          <w:b/>
          <w:bCs/>
        </w:rPr>
        <w:t xml:space="preserve">6. </w:t>
      </w:r>
      <w:r>
        <w:rPr>
          <w:rFonts w:eastAsia="Times New Roman"/>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D43B55" w:rsidRDefault="00000000">
      <w:pPr>
        <w:spacing w:after="120" w:line="340" w:lineRule="auto"/>
        <w:ind w:left="360" w:hanging="360"/>
      </w:pPr>
      <w:r>
        <w:rPr>
          <w:rFonts w:eastAsia="Times New Roman"/>
          <w:b/>
          <w:bCs/>
        </w:rPr>
        <w:t xml:space="preserve">7. </w:t>
      </w:r>
      <w:r>
        <w:rPr>
          <w:rFonts w:eastAsia="Times New Roman"/>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D43B55" w:rsidRDefault="00000000">
      <w:pPr>
        <w:spacing w:after="120" w:line="340" w:lineRule="auto"/>
        <w:ind w:left="360" w:hanging="360"/>
      </w:pPr>
      <w:r>
        <w:rPr>
          <w:rFonts w:eastAsia="Times New Roman"/>
          <w:b/>
          <w:bCs/>
        </w:rPr>
        <w:lastRenderedPageBreak/>
        <w:t xml:space="preserve">8. </w:t>
      </w:r>
      <w:r>
        <w:rPr>
          <w:rFonts w:eastAsia="Times New Roman"/>
        </w:rPr>
        <w:t>Three case-specific paragraphs in Discussion — Palm (avg-of-thresholds + Fig 5), Taiwanese film (avg-of-attitudes + Fig 8c–d), SOA (bounded-confidence + Fig 8a–b). (Responding to R1-3, R2-7)</w:t>
      </w:r>
    </w:p>
    <w:p w14:paraId="27C9F782" w14:textId="77777777" w:rsidR="005150AD" w:rsidRPr="00D43B55" w:rsidRDefault="00000000">
      <w:pPr>
        <w:spacing w:after="120" w:line="340" w:lineRule="auto"/>
        <w:ind w:left="360" w:hanging="360"/>
      </w:pPr>
      <w:r>
        <w:rPr>
          <w:rFonts w:eastAsia="Times New Roman"/>
          <w:b/>
          <w:bCs/>
        </w:rPr>
        <w:t xml:space="preserve">9. </w:t>
      </w:r>
      <w:r>
        <w:rPr>
          <w:rFonts w:eastAsia="Times New Roman"/>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D43B55" w:rsidRDefault="00000000">
      <w:pPr>
        <w:spacing w:after="120" w:line="340" w:lineRule="auto"/>
        <w:ind w:left="360" w:hanging="360"/>
      </w:pPr>
      <w:r>
        <w:rPr>
          <w:rFonts w:eastAsia="Times New Roman"/>
          <w:b/>
          <w:bCs/>
        </w:rPr>
        <w:t xml:space="preserve">10. </w:t>
      </w:r>
      <w:r>
        <w:rPr>
          <w:rFonts w:eastAsia="Times New Roman"/>
        </w:rPr>
        <w:t>New Fig 10: Two-panel mechanism decomposition on regular lattice showing (a) MD-A coordination failure profile with phase transition, and (b) MD-C stacked decomposition of total adoption gap. (Responding to R1-2)</w:t>
      </w:r>
    </w:p>
    <w:p w14:paraId="5F0D6AE3" w14:textId="77777777" w:rsidR="005150AD" w:rsidRPr="00D43B55" w:rsidRDefault="00000000">
      <w:pPr>
        <w:spacing w:after="120" w:line="340" w:lineRule="auto"/>
        <w:ind w:left="360" w:hanging="360"/>
      </w:pPr>
      <w:r>
        <w:rPr>
          <w:rFonts w:eastAsia="Times New Roman"/>
          <w:b/>
          <w:bCs/>
        </w:rPr>
        <w:t xml:space="preserve">11. </w:t>
      </w:r>
      <w:r>
        <w:rPr>
          <w:rFonts w:eastAsia="Times New Roman"/>
        </w:rPr>
        <w:t>New Discussion paragraph comparing BCAT with voter models with inertia and SIS/SIR epidemic frameworks. (Responding to R2-7)</w:t>
      </w:r>
    </w:p>
    <w:p w14:paraId="20CA7AD5" w14:textId="77777777" w:rsidR="005150AD" w:rsidRPr="00D43B55" w:rsidRDefault="00000000">
      <w:pPr>
        <w:spacing w:after="120" w:line="340" w:lineRule="auto"/>
        <w:ind w:left="360" w:hanging="360"/>
      </w:pPr>
      <w:r>
        <w:rPr>
          <w:rFonts w:eastAsia="Times New Roman"/>
          <w:b/>
          <w:bCs/>
        </w:rPr>
        <w:t xml:space="preserve">12. </w:t>
      </w:r>
      <w:r>
        <w:rPr>
          <w:rFonts w:eastAsia="Times New Roman"/>
        </w:rPr>
        <w:t>Replaced Figures 2, 4, 5, 6, 10, 11: NetLogo GUI screenshots replaced with author-generated Python/matplotlib visualizations. (Responding to JR-5)</w:t>
      </w:r>
    </w:p>
    <w:p w14:paraId="12D6F43B" w14:textId="77777777" w:rsidR="005150AD" w:rsidRPr="00D43B55" w:rsidRDefault="00000000">
      <w:pPr>
        <w:spacing w:after="120" w:line="340" w:lineRule="auto"/>
        <w:ind w:left="360" w:hanging="360"/>
      </w:pPr>
      <w:r>
        <w:rPr>
          <w:rFonts w:eastAsia="Times New Roman"/>
          <w:b/>
          <w:bCs/>
        </w:rPr>
        <w:t xml:space="preserve">13. </w:t>
      </w:r>
      <w:r>
        <w:rPr>
          <w:rFonts w:eastAsia="Times New Roman"/>
        </w:rPr>
        <w:t>Corrected reference: Gong et al. (2020) bibliographic entry. (Responding to R1-Minor, R2-8)</w:t>
      </w:r>
    </w:p>
    <w:p w14:paraId="5B642D69" w14:textId="77777777" w:rsidR="005150AD" w:rsidRPr="00D43B55" w:rsidRDefault="00000000">
      <w:pPr>
        <w:spacing w:after="120" w:line="340" w:lineRule="auto"/>
        <w:ind w:left="360" w:hanging="360"/>
      </w:pPr>
      <w:r>
        <w:rPr>
          <w:rFonts w:eastAsia="Times New Roman"/>
          <w:b/>
          <w:bCs/>
        </w:rPr>
        <w:t xml:space="preserve">14. </w:t>
      </w:r>
      <w:r>
        <w:rPr>
          <w:rFonts w:eastAsia="Times New Roman"/>
        </w:rPr>
        <w:t>Added references: Banerjee (1992), Golub &amp; Jackson (2010, 2012), Cheng et al. (2026), Katz &amp; Shapiro (1985), Morris &amp; Shin (2003), Berenbrink et al. (2024). (Responding to JR-6)</w:t>
      </w:r>
    </w:p>
    <w:p w14:paraId="2D2EF4E8" w14:textId="77777777" w:rsidR="005150AD" w:rsidRPr="00D43B55" w:rsidRDefault="00000000">
      <w:pPr>
        <w:spacing w:after="120" w:line="340" w:lineRule="auto"/>
        <w:ind w:left="360" w:hanging="360"/>
      </w:pPr>
      <w:r>
        <w:rPr>
          <w:rFonts w:eastAsia="Times New Roman"/>
          <w:b/>
          <w:bCs/>
        </w:rPr>
        <w:t xml:space="preserve">15. </w:t>
      </w:r>
      <w:r>
        <w:rPr>
          <w:rFonts w:eastAsia="Times New Roman"/>
        </w:rPr>
        <w:t>LaTeX conversion: Entire manuscript reformatted using PLOS ONE LaTeX template. (Responding to JR-3)</w:t>
      </w:r>
    </w:p>
    <w:p w14:paraId="7D762100" w14:textId="77777777" w:rsidR="005150AD" w:rsidRPr="00D43B55" w:rsidRDefault="00000000">
      <w:pPr>
        <w:spacing w:after="120" w:line="340" w:lineRule="auto"/>
        <w:ind w:left="360" w:hanging="360"/>
      </w:pPr>
      <w:r>
        <w:rPr>
          <w:rFonts w:eastAsia="Times New Roman"/>
          <w:b/>
          <w:bCs/>
        </w:rPr>
        <w:t>16. Code and data: Public GitHub repository with Zenodo DOI (10.5281/zenodo.19216365) and protocols.io reproduction protocol (DOI: 10.17504/protocols.io.261geykydv47/v1). Four Supporting Information files accompany the manuscript: S1 File (sensitivity analysis simulation data across four network topologies, N = 100,548 total observations, underlying Table 3 and Figs 7–9), S2 File (mechanism decomposition experiment data for MD-A/B/C on regular lattice and small-world topologies, 30,000 total runs, underlying Fig 10), S3 File (finite-size scaling experiment data at N = 400 to 2,500, confirming robustness of all qualitative phenomena), and S4 File (Python scripts for reproducing all reported statistical analyses and figures from the raw data in S1–S3 Files). (Responding to JR-2, JR-4)</w:t>
      </w:r>
      <w:r>
        <w:rPr>
          <w:rFonts w:eastAsia="Times New Roman"/>
        </w:rPr>
      </w:r>
      <w:r/>
    </w:p>
    <w:p w14:paraId="3B000017" w14:textId="77777777" w:rsidR="005150AD" w:rsidRPr="00D43B55" w:rsidRDefault="00000000">
      <w:pPr>
        <w:spacing w:after="160" w:line="360" w:lineRule="auto"/>
        <w:ind w:left="480"/>
      </w:pPr>
      <w:r>
        <w:rPr>
          <w:rFonts w:eastAsia="Times New Roman"/>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Pr="00D43B55" w:rsidRDefault="005150AD">
      <w:pPr>
        <w:spacing w:before="360" w:after="160" w:line="360" w:lineRule="auto"/>
      </w:pPr>
      <w:r>
        <w:rPr>
          <w:b/>
          <w:bCs/>
          <w:sz w:val="28"/>
          <w:szCs w:val="28"/>
        </w:rPr>
        <w:t>References Cited in This Response</w:t>
      </w:r>
    </w:p>
    <w:p w14:paraId="01B2C302" w14:textId="77777777" w:rsidR="005150AD" w:rsidRPr="00D43B55" w:rsidRDefault="00000000">
      <w:pPr>
        <w:spacing w:after="80" w:line="300" w:lineRule="auto"/>
        <w:ind w:left="480" w:hanging="480"/>
        <w:rPr>
          <w:sz w:val="20"/>
          <w:szCs w:val="20"/>
        </w:rPr>
      </w:pPr>
      <w:r>
        <w:rPr>
          <w:sz w:val="20"/>
          <w:szCs w:val="20"/>
        </w:rPr>
        <w:t>Banerjee, A. V. (1992). A simple model of herd behavior. Quarterly Journal of Economics, 107(3), 797–817.</w:t>
      </w:r>
    </w:p>
    <w:p w14:paraId="01B2C303" w14:textId="77777777" w:rsidR="005150AD" w:rsidRPr="00D43B55" w:rsidRDefault="00000000">
      <w:pPr>
        <w:spacing w:after="80" w:line="300" w:lineRule="auto"/>
        <w:ind w:left="480" w:hanging="480"/>
        <w:rPr>
          <w:sz w:val="20"/>
          <w:szCs w:val="20"/>
        </w:rPr>
      </w:pPr>
      <w:r>
        <w:rPr>
          <w:sz w:val="20"/>
          <w:szCs w:val="20"/>
        </w:rPr>
        <w:t>Berenbrink, P., Hoefer, M., Kaaser, D., Lenzner, P., Rau, M., &amp; Schmand, D. (2024). Asynchronous opinion dynamics in social networks. Distributed Computing, 37(3), 207–224.</w:t>
      </w:r>
    </w:p>
    <w:p w14:paraId="01B2C304" w14:textId="77777777" w:rsidR="005150AD" w:rsidRPr="00D43B55" w:rsidRDefault="00000000">
      <w:pPr>
        <w:spacing w:after="80" w:line="300" w:lineRule="auto"/>
        <w:ind w:left="480" w:hanging="480"/>
        <w:rPr>
          <w:sz w:val="20"/>
          <w:szCs w:val="20"/>
        </w:rPr>
      </w:pPr>
      <w:r>
        <w:rPr>
          <w:sz w:val="20"/>
          <w:szCs w:val="20"/>
        </w:rPr>
        <w:t>Cheng, C., Han, X., Tong, X., Wu, Y., &amp; Xing, Y. (2026). Degree-weighted social learning. American Economic Journal: Microeconomics. Forthcoming.</w:t>
      </w:r>
    </w:p>
    <w:p w14:paraId="01B2C305" w14:textId="77777777" w:rsidR="005150AD" w:rsidRPr="00D43B55" w:rsidRDefault="00000000">
      <w:pPr>
        <w:spacing w:after="80" w:line="300" w:lineRule="auto"/>
        <w:ind w:left="480" w:hanging="480"/>
        <w:rPr>
          <w:sz w:val="20"/>
          <w:szCs w:val="20"/>
        </w:rPr>
      </w:pPr>
      <w:r>
        <w:rPr>
          <w:sz w:val="20"/>
          <w:szCs w:val="20"/>
        </w:rPr>
        <w:lastRenderedPageBreak/>
        <w:t>Deffuant, G., Neau, D., Amblard, F., &amp; Weisbuch, G. (2000). Mixing beliefs among interacting agents. Advances in Complex Systems, 3(1–4), 87–98.</w:t>
      </w:r>
    </w:p>
    <w:p w14:paraId="01B2C306" w14:textId="77777777" w:rsidR="005150AD" w:rsidRPr="00D43B55" w:rsidRDefault="00000000">
      <w:pPr>
        <w:spacing w:after="80" w:line="300" w:lineRule="auto"/>
        <w:ind w:left="480" w:hanging="480"/>
        <w:rPr>
          <w:sz w:val="20"/>
          <w:szCs w:val="20"/>
        </w:rPr>
      </w:pPr>
      <w:r>
        <w:rPr>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Pr="00D43B55" w:rsidRDefault="00000000">
      <w:pPr>
        <w:spacing w:after="80" w:line="300" w:lineRule="auto"/>
        <w:ind w:left="480" w:hanging="480"/>
        <w:rPr>
          <w:sz w:val="20"/>
          <w:szCs w:val="20"/>
        </w:rPr>
      </w:pPr>
      <w:r>
        <w:rPr>
          <w:sz w:val="20"/>
          <w:szCs w:val="20"/>
        </w:rPr>
        <w:t>Erl, T. (2005). Service-Oriented Architecture: Concepts, Technology, and Design. Prentice Hall.</w:t>
      </w:r>
    </w:p>
    <w:p w14:paraId="01B2C308" w14:textId="77777777" w:rsidR="005150AD" w:rsidRPr="00D43B55" w:rsidRDefault="00000000">
      <w:pPr>
        <w:spacing w:after="80" w:line="300" w:lineRule="auto"/>
        <w:ind w:left="480" w:hanging="480"/>
        <w:rPr>
          <w:sz w:val="20"/>
          <w:szCs w:val="20"/>
        </w:rPr>
      </w:pPr>
      <w:r>
        <w:rPr>
          <w:sz w:val="20"/>
          <w:szCs w:val="20"/>
        </w:rPr>
        <w:t>Golub, B., &amp; Jackson, M. O. (2010). Naïve learning in social networks and the wisdom of crowds. American Economic Journal: Microeconomics, 2(1), 112–149.</w:t>
      </w:r>
    </w:p>
    <w:p w14:paraId="01B2C309" w14:textId="77777777" w:rsidR="005150AD" w:rsidRPr="00D43B55" w:rsidRDefault="00000000">
      <w:pPr>
        <w:spacing w:after="80" w:line="300" w:lineRule="auto"/>
        <w:ind w:left="480" w:hanging="480"/>
        <w:rPr>
          <w:sz w:val="20"/>
          <w:szCs w:val="20"/>
        </w:rPr>
      </w:pPr>
      <w:r>
        <w:rPr>
          <w:sz w:val="20"/>
          <w:szCs w:val="20"/>
        </w:rPr>
        <w:t>Golub, B., &amp; Jackson, M. O. (2012). How homophily affects the speed of learning and best-response dynamics. Quarterly Journal of Economics, 127(3), 1287–1338.</w:t>
      </w:r>
    </w:p>
    <w:p w14:paraId="01B2C30A" w14:textId="77777777" w:rsidR="005150AD" w:rsidRPr="00D43B55" w:rsidRDefault="00000000">
      <w:pPr>
        <w:spacing w:after="80" w:line="300" w:lineRule="auto"/>
        <w:ind w:left="480" w:hanging="480"/>
        <w:rPr>
          <w:sz w:val="20"/>
          <w:szCs w:val="20"/>
        </w:rPr>
      </w:pPr>
      <w:r>
        <w:rPr>
          <w:sz w:val="20"/>
          <w:szCs w:val="20"/>
        </w:rPr>
        <w:t>Katz, M. L., &amp; Shapiro, C. (1985). Network externalities, competition, and compatibility. American Economic Review, 75(3), 424–440.</w:t>
      </w:r>
    </w:p>
    <w:p w14:paraId="01B2C30B" w14:textId="77777777" w:rsidR="005150AD" w:rsidRPr="00D43B55" w:rsidRDefault="00000000">
      <w:pPr>
        <w:spacing w:after="80" w:line="300" w:lineRule="auto"/>
        <w:ind w:left="480" w:hanging="480"/>
        <w:rPr>
          <w:sz w:val="20"/>
          <w:szCs w:val="20"/>
        </w:rPr>
      </w:pPr>
      <w:r>
        <w:rPr>
          <w:sz w:val="20"/>
          <w:szCs w:val="20"/>
        </w:rPr>
        <w:t>McPherson, M., Smith-Lovin, L., &amp; Cook, J. M. (2001). Birds of a feather: Homophily in social networks. Annual Review of Sociology, 27(1), 415–444.</w:t>
      </w:r>
    </w:p>
    <w:p w14:paraId="01B2C30C" w14:textId="77777777" w:rsidR="005150AD" w:rsidRPr="00D43B55" w:rsidRDefault="00000000">
      <w:pPr>
        <w:spacing w:after="80" w:line="300" w:lineRule="auto"/>
        <w:ind w:left="480" w:hanging="480"/>
        <w:rPr>
          <w:sz w:val="20"/>
          <w:szCs w:val="20"/>
        </w:rPr>
      </w:pPr>
      <w:r>
        <w:rPr>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Pr="00D43B55" w:rsidRDefault="00000000">
      <w:pPr>
        <w:spacing w:after="80" w:line="300" w:lineRule="auto"/>
        <w:ind w:left="480" w:hanging="480"/>
        <w:rPr>
          <w:sz w:val="20"/>
          <w:szCs w:val="20"/>
        </w:rPr>
      </w:pPr>
      <w:r>
        <w:rPr>
          <w:sz w:val="20"/>
          <w:szCs w:val="20"/>
        </w:rPr>
        <w:t>Oliver, P., Marwell, G., &amp; Teixeira, R. (1985). A theory of the critical mass. American Journal of Sociology, 91(3), 522–556.</w:t>
      </w:r>
    </w:p>
    <w:p w14:paraId="01B2C30E" w14:textId="77777777" w:rsidR="005150AD" w:rsidRPr="00D43B55" w:rsidRDefault="00000000">
      <w:pPr>
        <w:spacing w:after="80" w:line="300" w:lineRule="auto"/>
        <w:ind w:left="480" w:hanging="480"/>
        <w:rPr>
          <w:sz w:val="20"/>
          <w:szCs w:val="20"/>
        </w:rPr>
      </w:pPr>
      <w:r>
        <w:rPr>
          <w:sz w:val="20"/>
          <w:szCs w:val="20"/>
        </w:rPr>
        <w:t>Rogers, E. M. (2003). Diffusion of Innovations (5th ed.). Free Press.</w:t>
      </w:r>
    </w:p>
    <w:p w14:paraId="01B2C30F" w14:textId="77777777" w:rsidR="005150AD" w:rsidRPr="00D43B55" w:rsidRDefault="00000000">
      <w:pPr>
        <w:spacing w:after="80" w:line="300" w:lineRule="auto"/>
        <w:ind w:left="480" w:hanging="480"/>
        <w:rPr>
          <w:sz w:val="20"/>
          <w:szCs w:val="20"/>
        </w:rPr>
      </w:pPr>
      <w:r>
        <w:rPr>
          <w:sz w:val="20"/>
          <w:szCs w:val="20"/>
        </w:rPr>
        <w:t>Valente, T. W. (1996). Network models of the diffusion of innovations. Computational and Mathematical Organization Theory, 2(2), 163–164.</w:t>
      </w:r>
    </w:p>
    <w:p w14:paraId="01B2C310" w14:textId="77777777" w:rsidR="005150AD" w:rsidRPr="00D43B55" w:rsidRDefault="00000000">
      <w:pPr>
        <w:spacing w:after="80" w:line="300" w:lineRule="auto"/>
        <w:ind w:left="480" w:hanging="480"/>
        <w:rPr>
          <w:sz w:val="20"/>
          <w:szCs w:val="20"/>
        </w:rPr>
      </w:pPr>
      <w:r>
        <w:rPr>
          <w:sz w:val="20"/>
          <w:szCs w:val="20"/>
        </w:rPr>
        <w:t>Watts, D. J. (2003). Six Degrees: The Science of a Connected Age. WW Norton.</w:t>
      </w:r>
    </w:p>
    <w:sectPr w:rsidR="005150AD" w:rsidRPr="00D43B55" w:rsidSect="00630B2A">
      <w:pgSz w:w="12240" w:h="15840"/>
      <w:pgMar w:top="1440" w:right="1800" w:bottom="1440" w:left="180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30B2A"/>
    <w:rsid w:val="00651728"/>
    <w:rsid w:val="006D4394"/>
    <w:rsid w:val="00760FB2"/>
    <w:rsid w:val="00786DC9"/>
    <w:rsid w:val="008178F3"/>
    <w:rsid w:val="0088425A"/>
    <w:rsid w:val="008A71A0"/>
    <w:rsid w:val="00904E86"/>
    <w:rsid w:val="009912F2"/>
    <w:rsid w:val="00A01762"/>
    <w:rsid w:val="00AC1575"/>
    <w:rsid w:val="00AE5311"/>
    <w:rsid w:val="00CC71FC"/>
    <w:rsid w:val="00D43B55"/>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24</Pages>
  <Words>7649</Words>
  <Characters>45973</Characters>
  <Application>Microsoft Office Word</Application>
  <DocSecurity>0</DocSecurity>
  <Lines>597</Lines>
  <Paragraphs>171</Paragraphs>
  <ScaleCrop>false</ScaleCrop>
  <Company/>
  <LinksUpToDate>false</LinksUpToDate>
  <CharactersWithSpaces>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33</cp:revision>
  <dcterms:created xsi:type="dcterms:W3CDTF">2026-03-17T11:34:00Z</dcterms:created>
  <dcterms:modified xsi:type="dcterms:W3CDTF">2026-03-21T15:09:00Z</dcterms:modified>
</cp:coreProperties>
</file>