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5A5283" w:rsidRDefault="005150AD">
      <w:pPr>
        <w:spacing w:before="2400"/>
        <w:rPr>
          <w:rFonts w:ascii="Book Antiqua" w:hAnsi="Book Antiqua"/>
        </w:rPr>
      </w:pPr>
    </w:p>
    <w:p w14:paraId="141CEF27" w14:textId="77777777" w:rsidR="005150AD" w:rsidRPr="005A5283" w:rsidRDefault="00000000">
      <w:pPr>
        <w:spacing w:after="240"/>
        <w:jc w:val="center"/>
        <w:rPr>
          <w:rFonts w:ascii="Book Antiqua" w:hAnsi="Book Antiqua"/>
        </w:rPr>
      </w:pPr>
      <w:r w:rsidRPr="005A5283">
        <w:rPr>
          <w:rFonts w:ascii="Book Antiqua" w:eastAsia="Times New Roman" w:hAnsi="Book Antiqua"/>
          <w:b/>
          <w:bCs/>
          <w:sz w:val="36"/>
          <w:szCs w:val="36"/>
        </w:rPr>
        <w:t>Response to Reviewers</w:t>
      </w:r>
    </w:p>
    <w:p w14:paraId="350F7593" w14:textId="77777777" w:rsidR="005150AD" w:rsidRPr="005A5283" w:rsidRDefault="00000000">
      <w:pPr>
        <w:spacing w:after="120"/>
        <w:jc w:val="center"/>
        <w:rPr>
          <w:rFonts w:ascii="Book Antiqua" w:hAnsi="Book Antiqua"/>
        </w:rPr>
      </w:pPr>
      <w:r w:rsidRPr="005A5283">
        <w:rPr>
          <w:rFonts w:ascii="Book Antiqua" w:eastAsia="Times New Roman" w:hAnsi="Book Antiqua"/>
          <w:sz w:val="24"/>
          <w:szCs w:val="24"/>
        </w:rPr>
        <w:t>Manuscript ID: PONE-D-26-01398</w:t>
      </w:r>
    </w:p>
    <w:p w14:paraId="2D1E4A0A" w14:textId="77777777" w:rsidR="005150AD" w:rsidRPr="005A5283" w:rsidRDefault="00000000">
      <w:pPr>
        <w:spacing w:after="480"/>
        <w:jc w:val="center"/>
        <w:rPr>
          <w:rFonts w:ascii="Book Antiqua" w:hAnsi="Book Antiqua"/>
        </w:rPr>
      </w:pPr>
      <w:r w:rsidRPr="005A5283">
        <w:rPr>
          <w:rFonts w:ascii="Book Antiqua" w:eastAsia="Times New Roman" w:hAnsi="Book Antiqua"/>
          <w:i/>
          <w:iCs/>
          <w:sz w:val="24"/>
          <w:szCs w:val="24"/>
        </w:rPr>
        <w:t>"Exploring the ‘Best Game No One Played’ Phenomenon Using A Mixed Opinion Dynamics and Innovation Diffusion Model"</w:t>
      </w:r>
    </w:p>
    <w:p w14:paraId="7E0B3FF7" w14:textId="77777777" w:rsidR="005150AD" w:rsidRPr="005A5283" w:rsidRDefault="00000000">
      <w:pPr>
        <w:spacing w:after="120"/>
        <w:jc w:val="center"/>
        <w:rPr>
          <w:rFonts w:ascii="Book Antiqua" w:hAnsi="Book Antiqua"/>
        </w:rPr>
      </w:pPr>
      <w:r w:rsidRPr="005A5283">
        <w:rPr>
          <w:rFonts w:ascii="Book Antiqua" w:eastAsia="Times New Roman" w:hAnsi="Book Antiqua"/>
          <w:sz w:val="24"/>
          <w:szCs w:val="24"/>
        </w:rPr>
        <w:t>Chung-Yuan Huang and Sheng-Wen Wang</w:t>
      </w:r>
    </w:p>
    <w:p w14:paraId="10A1DADF" w14:textId="77777777" w:rsidR="005150AD" w:rsidRPr="005A5283" w:rsidRDefault="00000000">
      <w:pPr>
        <w:rPr>
          <w:rFonts w:ascii="Book Antiqua" w:hAnsi="Book Antiqua"/>
        </w:rPr>
      </w:pPr>
      <w:r w:rsidRPr="005A5283">
        <w:rPr>
          <w:rFonts w:ascii="Book Antiqua" w:hAnsi="Book Antiqua"/>
        </w:rPr>
        <w:br w:type="page"/>
      </w:r>
    </w:p>
    <w:p w14:paraId="2C566578" w14:textId="77777777" w:rsidR="005150AD" w:rsidRPr="005A5283" w:rsidRDefault="00000000">
      <w:pPr>
        <w:pStyle w:val="1"/>
        <w:rPr>
          <w:rFonts w:ascii="Book Antiqua" w:hAnsi="Book Antiqua"/>
        </w:rPr>
      </w:pPr>
      <w:r w:rsidRPr="005A5283">
        <w:rPr>
          <w:rFonts w:ascii="Book Antiqua" w:hAnsi="Book Antiqua"/>
        </w:rPr>
        <w:lastRenderedPageBreak/>
        <w:t>Letter to the Academic Editor</w:t>
      </w:r>
    </w:p>
    <w:p w14:paraId="097F78E0" w14:textId="77777777" w:rsidR="005150AD" w:rsidRPr="008178F3" w:rsidRDefault="00000000">
      <w:pPr>
        <w:spacing w:after="160" w:line="360" w:lineRule="auto"/>
        <w:rPr>
          <w:rFonts w:ascii="Book Antiqua" w:hAnsi="Book Antiqua"/>
          <w:sz w:val="24"/>
          <w:szCs w:val="24"/>
        </w:rPr>
      </w:pPr>
      <w:r w:rsidRPr="008178F3">
        <w:rPr>
          <w:rFonts w:ascii="Book Antiqua" w:eastAsia="Times New Roman" w:hAnsi="Book Antiqua"/>
          <w:sz w:val="24"/>
          <w:szCs w:val="24"/>
        </w:rPr>
        <w:t xml:space="preserve">Dear Prof. Krzysztof </w:t>
      </w:r>
      <w:proofErr w:type="spellStart"/>
      <w:r w:rsidRPr="008178F3">
        <w:rPr>
          <w:rFonts w:ascii="Book Antiqua" w:eastAsia="Times New Roman" w:hAnsi="Book Antiqua"/>
          <w:sz w:val="24"/>
          <w:szCs w:val="24"/>
        </w:rPr>
        <w:t>Malarz</w:t>
      </w:r>
      <w:proofErr w:type="spellEnd"/>
      <w:r w:rsidRPr="008178F3">
        <w:rPr>
          <w:rFonts w:ascii="Book Antiqua" w:eastAsia="Times New Roman" w:hAnsi="Book Antiqua"/>
          <w:sz w:val="24"/>
          <w:szCs w:val="24"/>
        </w:rPr>
        <w:t>,</w:t>
      </w:r>
    </w:p>
    <w:p w14:paraId="7A4CD967" w14:textId="77777777" w:rsidR="005150AD" w:rsidRPr="008178F3" w:rsidRDefault="00000000">
      <w:pPr>
        <w:spacing w:after="160" w:line="360" w:lineRule="auto"/>
        <w:rPr>
          <w:rFonts w:ascii="Book Antiqua" w:hAnsi="Book Antiqua"/>
          <w:sz w:val="24"/>
          <w:szCs w:val="24"/>
        </w:rPr>
      </w:pPr>
      <w:r w:rsidRPr="008178F3">
        <w:rPr>
          <w:rFonts w:ascii="Book Antiqua" w:eastAsia="Times New Roman" w:hAnsi="Book Antiqua"/>
          <w:sz w:val="24"/>
          <w:szCs w:val="24"/>
        </w:rPr>
        <w:t>Thank you for handling our manuscript and for the opportunity to revise and resubmit. We are grateful to both reviewers for their thorough, constructive, and insightful evaluations. Their comments have substantially improved the theoretical depth, methodological rigor, and overall clarity of the manuscript.</w:t>
      </w:r>
    </w:p>
    <w:p w14:paraId="713D2ED0" w14:textId="77777777" w:rsidR="005150AD" w:rsidRPr="008178F3" w:rsidRDefault="00000000">
      <w:pPr>
        <w:spacing w:after="160" w:line="360" w:lineRule="auto"/>
        <w:rPr>
          <w:rFonts w:ascii="Book Antiqua" w:hAnsi="Book Antiqua"/>
          <w:sz w:val="24"/>
          <w:szCs w:val="24"/>
        </w:rPr>
      </w:pPr>
      <w:r w:rsidRPr="008178F3">
        <w:rPr>
          <w:rFonts w:ascii="Book Antiqua" w:eastAsia="Times New Roman" w:hAnsi="Book Antiqua"/>
          <w:sz w:val="24"/>
          <w:szCs w:val="24"/>
        </w:rPr>
        <w:t>We have carefully addressed every point raised by the reviewers and the journal editorial office. The major changes in the revised manuscript include: (1) a substantially revised theoretical framework that explicitly articulates the rationale for integrating bounded confidence opinion dynamics with adoption thresholds, clarifying the model’s relationship to both the Hegselmann–Krause and Deffuant traditions; (2) new controlled experiments that disentangle the coordination failure channel from the opinion clustering channel; (3) a finite-size scaling analysis with N = 1,000 and N = 2,500 agents to establish robustness; (4) a new discussion section comparing the BCAT model with alternative theoretical frameworks, including information cascades, network externalities, and global games; (5) corrected and expanded statistical reporting in Table 2 with algorithm identification, standard errors, and verified data alignment; (6) an operational definition of critical mass within the BCAT framework; (7) reformatted figures replacing NetLogo GUI screenshots with author-generated visualizations; and (8) conversion to the PLOS LaTeX template with public code and data repositories.</w:t>
      </w:r>
    </w:p>
    <w:p w14:paraId="5339DF11" w14:textId="77777777" w:rsidR="005150AD" w:rsidRPr="008178F3" w:rsidRDefault="00000000">
      <w:pPr>
        <w:spacing w:after="160" w:line="360" w:lineRule="auto"/>
        <w:rPr>
          <w:rFonts w:ascii="Book Antiqua" w:hAnsi="Book Antiqua"/>
          <w:sz w:val="24"/>
          <w:szCs w:val="24"/>
        </w:rPr>
      </w:pPr>
      <w:r w:rsidRPr="008178F3">
        <w:rPr>
          <w:rFonts w:ascii="Book Antiqua" w:eastAsia="Times New Roman" w:hAnsi="Book Antiqua"/>
          <w:sz w:val="24"/>
          <w:szCs w:val="24"/>
        </w:rPr>
        <w:t xml:space="preserve">Below, we provide a point-by-point response to all journal requirements and reviewer comments. Reviewer comments are shown in </w:t>
      </w:r>
      <w:r w:rsidRPr="008178F3">
        <w:rPr>
          <w:rFonts w:ascii="Book Antiqua" w:eastAsia="Times New Roman" w:hAnsi="Book Antiqua"/>
          <w:i/>
          <w:iCs/>
          <w:sz w:val="24"/>
          <w:szCs w:val="24"/>
        </w:rPr>
        <w:t>gray italics</w:t>
      </w:r>
      <w:r w:rsidRPr="008178F3">
        <w:rPr>
          <w:rFonts w:ascii="Book Antiqua" w:eastAsia="Times New Roman" w:hAnsi="Book Antiqua"/>
          <w:sz w:val="24"/>
          <w:szCs w:val="24"/>
        </w:rPr>
        <w:t xml:space="preserve">, our responses in regular text, and specific manuscript changes are highlighted in </w:t>
      </w:r>
      <w:r w:rsidRPr="008178F3">
        <w:rPr>
          <w:rFonts w:ascii="Book Antiqua" w:eastAsia="Times New Roman" w:hAnsi="Book Antiqua"/>
          <w:b/>
          <w:bCs/>
          <w:color w:val="2E75B6"/>
          <w:sz w:val="24"/>
          <w:szCs w:val="24"/>
        </w:rPr>
        <w:t>blue-bordered blocks</w:t>
      </w:r>
      <w:r w:rsidRPr="008178F3">
        <w:rPr>
          <w:rFonts w:ascii="Book Antiqua" w:eastAsia="Times New Roman" w:hAnsi="Book Antiqua"/>
          <w:sz w:val="24"/>
          <w:szCs w:val="24"/>
        </w:rPr>
        <w:t>.</w:t>
      </w:r>
    </w:p>
    <w:p w14:paraId="6E2F729A" w14:textId="77777777" w:rsidR="005150AD" w:rsidRPr="008178F3" w:rsidRDefault="00000000">
      <w:pPr>
        <w:spacing w:after="160" w:line="360" w:lineRule="auto"/>
        <w:rPr>
          <w:rFonts w:ascii="Book Antiqua" w:hAnsi="Book Antiqua"/>
          <w:sz w:val="24"/>
          <w:szCs w:val="24"/>
        </w:rPr>
      </w:pPr>
      <w:r w:rsidRPr="008178F3">
        <w:rPr>
          <w:rFonts w:ascii="Book Antiqua" w:eastAsia="Times New Roman" w:hAnsi="Book Antiqua"/>
          <w:sz w:val="24"/>
          <w:szCs w:val="24"/>
        </w:rPr>
        <w:t>Sincerely,</w:t>
      </w:r>
    </w:p>
    <w:p w14:paraId="2D4C7F93" w14:textId="77777777" w:rsidR="005150AD" w:rsidRPr="008178F3" w:rsidRDefault="00000000" w:rsidP="008178F3">
      <w:pPr>
        <w:spacing w:after="160" w:line="360" w:lineRule="auto"/>
        <w:jc w:val="right"/>
        <w:rPr>
          <w:rFonts w:ascii="Book Antiqua" w:hAnsi="Book Antiqua"/>
          <w:i/>
          <w:iCs/>
          <w:sz w:val="24"/>
          <w:szCs w:val="24"/>
          <w:u w:val="single"/>
        </w:rPr>
      </w:pPr>
      <w:r w:rsidRPr="008178F3">
        <w:rPr>
          <w:rFonts w:ascii="Book Antiqua" w:eastAsia="Times New Roman" w:hAnsi="Book Antiqua"/>
          <w:i/>
          <w:iCs/>
          <w:sz w:val="24"/>
          <w:szCs w:val="24"/>
          <w:u w:val="single"/>
        </w:rPr>
        <w:t>Chung-Yuan Huang and Sheng-Wen Wang</w:t>
      </w:r>
    </w:p>
    <w:p w14:paraId="6AC6E72B" w14:textId="77777777" w:rsidR="005150AD" w:rsidRPr="005A5283" w:rsidRDefault="00000000">
      <w:pPr>
        <w:rPr>
          <w:rFonts w:ascii="Book Antiqua" w:hAnsi="Book Antiqua"/>
        </w:rPr>
      </w:pPr>
      <w:r w:rsidRPr="005A5283">
        <w:rPr>
          <w:rFonts w:ascii="Book Antiqua" w:hAnsi="Book Antiqua"/>
        </w:rPr>
        <w:br w:type="page"/>
      </w:r>
    </w:p>
    <w:p w14:paraId="6B9F425F" w14:textId="77777777" w:rsidR="005150AD" w:rsidRPr="00E86430" w:rsidRDefault="00000000" w:rsidP="0000067E">
      <w:pPr>
        <w:pStyle w:val="1"/>
        <w:spacing w:before="0" w:afterLines="100" w:after="240"/>
        <w:rPr>
          <w:rFonts w:ascii="Book Antiqua" w:hAnsi="Book Antiqua"/>
          <w:sz w:val="24"/>
          <w:szCs w:val="24"/>
        </w:rPr>
      </w:pPr>
      <w:r w:rsidRPr="00E86430">
        <w:rPr>
          <w:rFonts w:ascii="Book Antiqua" w:hAnsi="Book Antiqua"/>
          <w:sz w:val="24"/>
          <w:szCs w:val="24"/>
        </w:rPr>
        <w:lastRenderedPageBreak/>
        <w:t>Part I: Journal Requirements</w:t>
      </w:r>
    </w:p>
    <w:p w14:paraId="57C22A20" w14:textId="77777777" w:rsidR="005150AD" w:rsidRPr="00E86430" w:rsidRDefault="00000000" w:rsidP="0000067E">
      <w:pPr>
        <w:pStyle w:val="2"/>
        <w:spacing w:before="0" w:afterLines="100" w:after="240"/>
        <w:rPr>
          <w:rFonts w:ascii="Book Antiqua" w:hAnsi="Book Antiqua"/>
        </w:rPr>
      </w:pPr>
      <w:r w:rsidRPr="00E86430">
        <w:rPr>
          <w:rFonts w:ascii="Book Antiqua" w:hAnsi="Book Antiqua"/>
        </w:rPr>
        <w:t>JR-1. PLOS ONE Style Requirements</w:t>
      </w:r>
    </w:p>
    <w:p w14:paraId="4ED6F1F4" w14:textId="77777777" w:rsidR="005150AD" w:rsidRPr="00E86430" w:rsidRDefault="00000000" w:rsidP="0000067E">
      <w:pPr>
        <w:pBdr>
          <w:left w:val="single" w:sz="3" w:space="8" w:color="808080"/>
        </w:pBdr>
        <w:spacing w:afterLines="100" w:after="240"/>
        <w:ind w:left="480"/>
        <w:rPr>
          <w:rFonts w:ascii="Book Antiqua" w:hAnsi="Book Antiqua"/>
          <w:sz w:val="24"/>
          <w:szCs w:val="24"/>
        </w:rPr>
      </w:pPr>
      <w:r w:rsidRPr="00E86430">
        <w:rPr>
          <w:rFonts w:ascii="Book Antiqua" w:eastAsia="Times New Roman" w:hAnsi="Book Antiqua"/>
          <w:i/>
          <w:iCs/>
          <w:color w:val="404040"/>
          <w:sz w:val="24"/>
          <w:szCs w:val="24"/>
        </w:rPr>
        <w:t>Please ensure that your manuscript meets PLOS ONE’s style requirements, including those for file naming.</w:t>
      </w:r>
    </w:p>
    <w:p w14:paraId="0FE879EE" w14:textId="77777777" w:rsidR="0000067E" w:rsidRDefault="005A5283" w:rsidP="0000067E">
      <w:pPr>
        <w:spacing w:afterLines="100" w:after="240"/>
        <w:rPr>
          <w:rFonts w:ascii="Book Antiqua" w:eastAsia="Times New Roman" w:hAnsi="Book Antiqua"/>
          <w:sz w:val="24"/>
          <w:szCs w:val="24"/>
        </w:rPr>
      </w:pPr>
      <w:r w:rsidRPr="00E86430">
        <w:rPr>
          <w:rFonts w:ascii="Book Antiqua" w:eastAsia="Times New Roman" w:hAnsi="Book Antiqua"/>
          <w:b/>
          <w:bCs/>
          <w:sz w:val="24"/>
          <w:szCs w:val="24"/>
        </w:rPr>
        <w:t>Response</w:t>
      </w:r>
      <w:r w:rsidRPr="00E86430">
        <w:rPr>
          <w:rFonts w:ascii="Book Antiqua" w:eastAsia="Times New Roman" w:hAnsi="Book Antiqua"/>
          <w:sz w:val="24"/>
          <w:szCs w:val="24"/>
        </w:rPr>
        <w:t xml:space="preserve">: </w:t>
      </w:r>
    </w:p>
    <w:p w14:paraId="10A891E7" w14:textId="2B69AB97" w:rsidR="005A5283" w:rsidRPr="00E86430" w:rsidRDefault="005A5283" w:rsidP="0000067E">
      <w:pPr>
        <w:spacing w:afterLines="100" w:after="240"/>
        <w:rPr>
          <w:rFonts w:ascii="Book Antiqua" w:eastAsia="Times New Roman" w:hAnsi="Book Antiqua"/>
          <w:sz w:val="24"/>
          <w:szCs w:val="24"/>
        </w:rPr>
      </w:pPr>
      <w:r w:rsidRPr="00E86430">
        <w:rPr>
          <w:rFonts w:ascii="Book Antiqua" w:eastAsia="Times New Roman" w:hAnsi="Book Antiqua"/>
          <w:sz w:val="24"/>
          <w:szCs w:val="24"/>
        </w:rPr>
        <w:t>We have carefully reviewed the PLOS ONE style templates and formatting guidelines. The revised manuscript fully complies with all requirements. The specific adjustments made are as follows:</w:t>
      </w:r>
    </w:p>
    <w:p w14:paraId="2DF20690" w14:textId="77777777" w:rsidR="005A5283" w:rsidRPr="00E86430" w:rsidRDefault="005A5283" w:rsidP="0000067E">
      <w:pPr>
        <w:pStyle w:val="a4"/>
        <w:numPr>
          <w:ilvl w:val="0"/>
          <w:numId w:val="2"/>
        </w:numPr>
        <w:spacing w:afterLines="100" w:after="240"/>
        <w:ind w:left="482" w:hanging="482"/>
        <w:rPr>
          <w:rFonts w:ascii="Book Antiqua" w:eastAsia="Times New Roman" w:hAnsi="Book Antiqua"/>
          <w:sz w:val="24"/>
          <w:szCs w:val="24"/>
        </w:rPr>
      </w:pPr>
      <w:r w:rsidRPr="00E86430">
        <w:rPr>
          <w:rFonts w:ascii="Book Antiqua" w:eastAsia="Times New Roman" w:hAnsi="Book Antiqua"/>
          <w:b/>
          <w:bCs/>
          <w:sz w:val="24"/>
          <w:szCs w:val="24"/>
        </w:rPr>
        <w:t>LaTeX template</w:t>
      </w:r>
      <w:r w:rsidRPr="00E86430">
        <w:rPr>
          <w:rFonts w:ascii="Book Antiqua" w:eastAsia="Times New Roman" w:hAnsi="Book Antiqua"/>
          <w:sz w:val="24"/>
          <w:szCs w:val="24"/>
        </w:rPr>
        <w:t>: The manuscript uses the official PLOS ONE LaTeX template (plos2025.bst for bibliography formatting, 10pt,letterpaper document class with specified geometry).</w:t>
      </w:r>
    </w:p>
    <w:p w14:paraId="38F28C44" w14:textId="621673B8" w:rsidR="005A5283" w:rsidRPr="00E86430" w:rsidRDefault="005A5283" w:rsidP="0000067E">
      <w:pPr>
        <w:pStyle w:val="a4"/>
        <w:numPr>
          <w:ilvl w:val="0"/>
          <w:numId w:val="2"/>
        </w:numPr>
        <w:spacing w:afterLines="100" w:after="240"/>
        <w:ind w:left="482" w:hanging="482"/>
        <w:rPr>
          <w:rFonts w:ascii="Book Antiqua" w:eastAsia="Times New Roman" w:hAnsi="Book Antiqua"/>
          <w:sz w:val="24"/>
          <w:szCs w:val="24"/>
        </w:rPr>
      </w:pPr>
      <w:r w:rsidRPr="00E86430">
        <w:rPr>
          <w:rFonts w:ascii="Book Antiqua" w:eastAsia="Times New Roman" w:hAnsi="Book Antiqua"/>
          <w:b/>
          <w:bCs/>
          <w:sz w:val="24"/>
          <w:szCs w:val="24"/>
        </w:rPr>
        <w:t>Figure file naming</w:t>
      </w:r>
      <w:r w:rsidRPr="00E86430">
        <w:rPr>
          <w:rFonts w:ascii="Book Antiqua" w:eastAsia="Times New Roman" w:hAnsi="Book Antiqua"/>
          <w:sz w:val="24"/>
          <w:szCs w:val="24"/>
        </w:rPr>
        <w:t>: All figure files have been renamed according to PLOS ONE conventions (i.e., Fig1.tif, Fig2.tif, ..., Fig11.tif).</w:t>
      </w:r>
    </w:p>
    <w:p w14:paraId="4BFBF142" w14:textId="766FE0EA" w:rsidR="005A5283" w:rsidRPr="00E86430" w:rsidRDefault="005A5283" w:rsidP="0000067E">
      <w:pPr>
        <w:pStyle w:val="a4"/>
        <w:numPr>
          <w:ilvl w:val="0"/>
          <w:numId w:val="2"/>
        </w:numPr>
        <w:spacing w:afterLines="100" w:after="240"/>
        <w:ind w:left="482" w:hanging="482"/>
        <w:rPr>
          <w:rFonts w:ascii="Book Antiqua" w:eastAsia="Times New Roman" w:hAnsi="Book Antiqua"/>
          <w:sz w:val="24"/>
          <w:szCs w:val="24"/>
        </w:rPr>
      </w:pPr>
      <w:r w:rsidRPr="00E86430">
        <w:rPr>
          <w:rFonts w:ascii="Book Antiqua" w:eastAsia="Times New Roman" w:hAnsi="Book Antiqua"/>
          <w:b/>
          <w:bCs/>
          <w:sz w:val="24"/>
          <w:szCs w:val="24"/>
        </w:rPr>
        <w:t>Multi-panel figures</w:t>
      </w:r>
      <w:r w:rsidRPr="00E86430">
        <w:rPr>
          <w:rFonts w:ascii="Book Antiqua" w:eastAsia="Times New Roman" w:hAnsi="Book Antiqua"/>
          <w:sz w:val="24"/>
          <w:szCs w:val="24"/>
        </w:rPr>
        <w:t>: Figures containing multiple panels (Figs 1, 6, 7, 8, and 9) have been combined into single image files with panel labels (e.g., (a), (b), ...) embedded at the top-left corner of each sub-panel.</w:t>
      </w:r>
    </w:p>
    <w:p w14:paraId="1B6341AD" w14:textId="312A5FFD" w:rsidR="005A5283" w:rsidRPr="00E86430" w:rsidRDefault="005A5283" w:rsidP="0000067E">
      <w:pPr>
        <w:pStyle w:val="a4"/>
        <w:numPr>
          <w:ilvl w:val="0"/>
          <w:numId w:val="2"/>
        </w:numPr>
        <w:spacing w:afterLines="100" w:after="240"/>
        <w:ind w:left="482" w:hanging="482"/>
        <w:rPr>
          <w:rFonts w:ascii="Book Antiqua" w:eastAsia="Times New Roman" w:hAnsi="Book Antiqua"/>
          <w:sz w:val="24"/>
          <w:szCs w:val="24"/>
        </w:rPr>
      </w:pPr>
      <w:r w:rsidRPr="00E86430">
        <w:rPr>
          <w:rFonts w:ascii="Book Antiqua" w:eastAsia="Times New Roman" w:hAnsi="Book Antiqua"/>
          <w:b/>
          <w:bCs/>
          <w:sz w:val="24"/>
          <w:szCs w:val="24"/>
        </w:rPr>
        <w:t>F</w:t>
      </w:r>
      <w:r w:rsidRPr="00E86430">
        <w:rPr>
          <w:rFonts w:ascii="Book Antiqua" w:eastAsia="Times New Roman" w:hAnsi="Book Antiqua"/>
          <w:b/>
          <w:bCs/>
          <w:sz w:val="24"/>
          <w:szCs w:val="24"/>
        </w:rPr>
        <w:t>igure file format and resolution</w:t>
      </w:r>
      <w:r w:rsidRPr="00E86430">
        <w:rPr>
          <w:rFonts w:ascii="Book Antiqua" w:eastAsia="Times New Roman" w:hAnsi="Book Antiqua"/>
          <w:sz w:val="24"/>
          <w:szCs w:val="24"/>
        </w:rPr>
        <w:t>: All figure files have been converted to TIFF format at 300 DPI.</w:t>
      </w:r>
    </w:p>
    <w:p w14:paraId="49DB5560" w14:textId="12002301" w:rsidR="005A5283" w:rsidRPr="00E86430" w:rsidRDefault="005A5283" w:rsidP="0000067E">
      <w:pPr>
        <w:pStyle w:val="a4"/>
        <w:numPr>
          <w:ilvl w:val="0"/>
          <w:numId w:val="2"/>
        </w:numPr>
        <w:spacing w:afterLines="100" w:after="240"/>
        <w:ind w:left="482" w:hanging="482"/>
        <w:rPr>
          <w:rFonts w:ascii="Book Antiqua" w:eastAsia="Times New Roman" w:hAnsi="Book Antiqua"/>
          <w:sz w:val="24"/>
          <w:szCs w:val="24"/>
        </w:rPr>
      </w:pPr>
      <w:r w:rsidRPr="00E86430">
        <w:rPr>
          <w:rFonts w:ascii="Book Antiqua" w:eastAsia="Times New Roman" w:hAnsi="Book Antiqua"/>
          <w:b/>
          <w:bCs/>
          <w:sz w:val="24"/>
          <w:szCs w:val="24"/>
        </w:rPr>
        <w:t>Figure typography</w:t>
      </w:r>
      <w:r w:rsidRPr="00E86430">
        <w:rPr>
          <w:rFonts w:ascii="Book Antiqua" w:eastAsia="Times New Roman" w:hAnsi="Book Antiqua"/>
          <w:sz w:val="24"/>
          <w:szCs w:val="24"/>
        </w:rPr>
        <w:t>: All text within figures uses the Arial font at 8--10 pt, in compliance with PLOS ONE figure specifications.</w:t>
      </w:r>
    </w:p>
    <w:p w14:paraId="7E67214F" w14:textId="66B3B75A" w:rsidR="005A5283" w:rsidRPr="00E86430" w:rsidRDefault="005A5283" w:rsidP="0000067E">
      <w:pPr>
        <w:pStyle w:val="a4"/>
        <w:numPr>
          <w:ilvl w:val="0"/>
          <w:numId w:val="2"/>
        </w:numPr>
        <w:spacing w:afterLines="100" w:after="240"/>
        <w:ind w:left="482" w:hanging="482"/>
        <w:rPr>
          <w:rFonts w:ascii="Book Antiqua" w:eastAsia="Times New Roman" w:hAnsi="Book Antiqua"/>
          <w:sz w:val="24"/>
          <w:szCs w:val="24"/>
        </w:rPr>
      </w:pPr>
      <w:r w:rsidRPr="00E86430">
        <w:rPr>
          <w:rFonts w:ascii="Book Antiqua" w:eastAsia="Times New Roman" w:hAnsi="Book Antiqua"/>
          <w:b/>
          <w:bCs/>
          <w:sz w:val="24"/>
          <w:szCs w:val="24"/>
        </w:rPr>
        <w:t>Title, author, and affiliation formatting</w:t>
      </w:r>
      <w:r w:rsidRPr="00E86430">
        <w:rPr>
          <w:rFonts w:ascii="Book Antiqua" w:eastAsia="Times New Roman" w:hAnsi="Book Antiqua"/>
          <w:sz w:val="24"/>
          <w:szCs w:val="24"/>
        </w:rPr>
        <w:t>: Verified to follow the specified style (sentence case title, superscript affiliation numbers, corresponding author marked with asterisk).</w:t>
      </w:r>
    </w:p>
    <w:p w14:paraId="4FA20318" w14:textId="1256AF0A" w:rsidR="00267654" w:rsidRPr="00E3323F" w:rsidRDefault="005A5283" w:rsidP="0000067E">
      <w:pPr>
        <w:pStyle w:val="a4"/>
        <w:numPr>
          <w:ilvl w:val="0"/>
          <w:numId w:val="2"/>
        </w:numPr>
        <w:spacing w:afterLines="100" w:after="240"/>
        <w:ind w:hanging="482"/>
        <w:rPr>
          <w:rFonts w:ascii="Book Antiqua" w:eastAsia="Times New Roman" w:hAnsi="Book Antiqua"/>
          <w:b/>
          <w:bCs/>
          <w:sz w:val="24"/>
          <w:szCs w:val="24"/>
        </w:rPr>
      </w:pPr>
      <w:r w:rsidRPr="00E3323F">
        <w:rPr>
          <w:rFonts w:ascii="Book Antiqua" w:eastAsia="Times New Roman" w:hAnsi="Book Antiqua"/>
          <w:b/>
          <w:bCs/>
          <w:sz w:val="24"/>
          <w:szCs w:val="24"/>
        </w:rPr>
        <w:t>In-text citations</w:t>
      </w:r>
      <w:r w:rsidRPr="00E3323F">
        <w:rPr>
          <w:rFonts w:ascii="Book Antiqua" w:eastAsia="Times New Roman" w:hAnsi="Book Antiqua"/>
          <w:sz w:val="24"/>
          <w:szCs w:val="24"/>
        </w:rPr>
        <w:t>: Figures are cited as "Fig" (not "Figure"), and equations as "Eq" (not "Equation"), consistent with PLOS ONE conventions.</w:t>
      </w:r>
    </w:p>
    <w:p w14:paraId="0C5B8076" w14:textId="77777777" w:rsidR="0000067E" w:rsidRDefault="0000067E" w:rsidP="0000067E">
      <w:pPr>
        <w:widowControl/>
        <w:spacing w:afterLines="100" w:after="240"/>
        <w:rPr>
          <w:rFonts w:ascii="Book Antiqua" w:eastAsia="Times New Roman" w:hAnsi="Book Antiqua"/>
          <w:b/>
          <w:bCs/>
          <w:sz w:val="24"/>
          <w:szCs w:val="24"/>
        </w:rPr>
      </w:pPr>
      <w:r>
        <w:rPr>
          <w:rFonts w:ascii="Book Antiqua" w:hAnsi="Book Antiqua"/>
        </w:rPr>
        <w:br w:type="page"/>
      </w:r>
    </w:p>
    <w:p w14:paraId="673DEF82" w14:textId="18BFACF9" w:rsidR="005150AD" w:rsidRPr="00E86430" w:rsidRDefault="00000000" w:rsidP="0000067E">
      <w:pPr>
        <w:pStyle w:val="2"/>
        <w:spacing w:before="0" w:afterLines="100" w:after="240"/>
        <w:rPr>
          <w:rFonts w:ascii="Book Antiqua" w:hAnsi="Book Antiqua"/>
        </w:rPr>
      </w:pPr>
      <w:r w:rsidRPr="00E86430">
        <w:rPr>
          <w:rFonts w:ascii="Book Antiqua" w:hAnsi="Book Antiqua"/>
        </w:rPr>
        <w:lastRenderedPageBreak/>
        <w:t>JR-2. Code Sharing</w:t>
      </w:r>
    </w:p>
    <w:p w14:paraId="4E1A3926" w14:textId="77777777" w:rsidR="005150AD" w:rsidRPr="00E86430" w:rsidRDefault="00000000" w:rsidP="0000067E">
      <w:pPr>
        <w:pBdr>
          <w:left w:val="single" w:sz="3" w:space="8" w:color="808080"/>
        </w:pBdr>
        <w:spacing w:afterLines="100" w:after="240"/>
        <w:ind w:left="480"/>
        <w:rPr>
          <w:rFonts w:ascii="Book Antiqua" w:hAnsi="Book Antiqua"/>
          <w:sz w:val="24"/>
          <w:szCs w:val="24"/>
        </w:rPr>
      </w:pPr>
      <w:r w:rsidRPr="00E86430">
        <w:rPr>
          <w:rFonts w:ascii="Book Antiqua" w:eastAsia="Times New Roman" w:hAnsi="Book Antiqua"/>
          <w:i/>
          <w:iCs/>
          <w:color w:val="404040"/>
          <w:sz w:val="24"/>
          <w:szCs w:val="24"/>
        </w:rPr>
        <w:t>Please note that PLOS ONE has specific guidelines on code sharing for submissions in which author-generated code underpins the findings in the manuscript. We expect all author-generated code to be made available without restrictions upon publication of the work.</w:t>
      </w:r>
    </w:p>
    <w:p w14:paraId="0E1C41FE" w14:textId="77777777" w:rsidR="0000067E" w:rsidRDefault="004719BC" w:rsidP="0000067E">
      <w:pPr>
        <w:pStyle w:val="2"/>
        <w:spacing w:before="0" w:afterLines="100" w:after="240"/>
        <w:rPr>
          <w:rFonts w:ascii="Book Antiqua" w:hAnsi="Book Antiqua"/>
          <w:b w:val="0"/>
          <w:bCs w:val="0"/>
        </w:rPr>
      </w:pPr>
      <w:r w:rsidRPr="00E86430">
        <w:rPr>
          <w:rFonts w:ascii="Book Antiqua" w:hAnsi="Book Antiqua"/>
        </w:rPr>
        <w:t>Response</w:t>
      </w:r>
      <w:r w:rsidRPr="00E86430">
        <w:rPr>
          <w:rFonts w:ascii="Book Antiqua" w:hAnsi="Book Antiqua"/>
          <w:b w:val="0"/>
          <w:bCs w:val="0"/>
        </w:rPr>
        <w:t xml:space="preserve">: </w:t>
      </w:r>
    </w:p>
    <w:p w14:paraId="09CCD6AC" w14:textId="7AEB1C0E" w:rsidR="004719BC" w:rsidRPr="00E86430" w:rsidRDefault="004719BC" w:rsidP="0000067E">
      <w:pPr>
        <w:pStyle w:val="2"/>
        <w:spacing w:before="0" w:afterLines="100" w:after="240"/>
        <w:rPr>
          <w:rFonts w:ascii="Book Antiqua" w:hAnsi="Book Antiqua"/>
          <w:b w:val="0"/>
          <w:bCs w:val="0"/>
        </w:rPr>
      </w:pPr>
      <w:r w:rsidRPr="00E86430">
        <w:rPr>
          <w:rFonts w:ascii="Book Antiqua" w:hAnsi="Book Antiqua"/>
          <w:b w:val="0"/>
          <w:bCs w:val="0"/>
        </w:rPr>
        <w:t xml:space="preserve">We have made all author-generated code publicly available without restrictions, in full compliance with PLOS ONE's code sharing guidelines. The complete source code is hosted in a public GitHub repository at: </w:t>
      </w:r>
      <w:hyperlink r:id="rId5" w:history="1">
        <w:r w:rsidR="0000067E" w:rsidRPr="00510C1F">
          <w:rPr>
            <w:rStyle w:val="a5"/>
            <w:rFonts w:ascii="Book Antiqua" w:hAnsi="Book Antiqua"/>
            <w:b w:val="0"/>
            <w:bCs w:val="0"/>
          </w:rPr>
          <w:t>https://github.com/canslab1/BCAT</w:t>
        </w:r>
      </w:hyperlink>
      <w:r w:rsidR="0000067E">
        <w:rPr>
          <w:rFonts w:ascii="Book Antiqua" w:hAnsi="Book Antiqua"/>
          <w:b w:val="0"/>
          <w:bCs w:val="0"/>
        </w:rPr>
        <w:t>,</w:t>
      </w:r>
      <w:r w:rsidRPr="00E86430">
        <w:rPr>
          <w:rFonts w:ascii="Book Antiqua" w:hAnsi="Book Antiqua"/>
          <w:b w:val="0"/>
          <w:bCs w:val="0"/>
        </w:rPr>
        <w:t xml:space="preserve"> released under the MIT License, which permits unrestricted use, modification, and redistribution.</w:t>
      </w:r>
    </w:p>
    <w:p w14:paraId="125447C6" w14:textId="77777777" w:rsidR="004719BC" w:rsidRPr="00E86430" w:rsidRDefault="004719BC" w:rsidP="0000067E">
      <w:pPr>
        <w:pStyle w:val="2"/>
        <w:spacing w:before="0" w:afterLines="100" w:after="240"/>
        <w:rPr>
          <w:rFonts w:ascii="Book Antiqua" w:hAnsi="Book Antiqua"/>
          <w:b w:val="0"/>
          <w:bCs w:val="0"/>
        </w:rPr>
      </w:pPr>
      <w:r w:rsidRPr="00E86430">
        <w:rPr>
          <w:rFonts w:ascii="Book Antiqua" w:hAnsi="Book Antiqua"/>
          <w:b w:val="0"/>
          <w:bCs w:val="0"/>
        </w:rPr>
        <w:t>The repository includes the following materials to ensure reproducibility and reuse:</w:t>
      </w:r>
    </w:p>
    <w:p w14:paraId="46522EC0" w14:textId="4C471337" w:rsidR="004719BC" w:rsidRPr="00E86430" w:rsidRDefault="004719BC" w:rsidP="0000067E">
      <w:pPr>
        <w:pStyle w:val="2"/>
        <w:spacing w:before="0" w:afterLines="100" w:after="240"/>
        <w:rPr>
          <w:rFonts w:ascii="Book Antiqua" w:hAnsi="Book Antiqua"/>
          <w:b w:val="0"/>
          <w:bCs w:val="0"/>
        </w:rPr>
      </w:pPr>
      <w:r w:rsidRPr="00E86430">
        <w:rPr>
          <w:rFonts w:ascii="Book Antiqua" w:hAnsi="Book Antiqua"/>
        </w:rPr>
        <w:t>NetLogo simulation model</w:t>
      </w:r>
      <w:r w:rsidRPr="00E86430">
        <w:rPr>
          <w:rFonts w:ascii="Book Antiqua" w:hAnsi="Book Antiqua"/>
          <w:b w:val="0"/>
          <w:bCs w:val="0"/>
        </w:rPr>
        <w:t>: the original implementation used to generate all results reported in the manuscript, compatible with NetLogo 4.0.5 and later versions.</w:t>
      </w:r>
    </w:p>
    <w:p w14:paraId="59D861F3" w14:textId="5DB901AA" w:rsidR="004719BC" w:rsidRPr="00E86430" w:rsidRDefault="004719BC" w:rsidP="0000067E">
      <w:pPr>
        <w:pStyle w:val="2"/>
        <w:spacing w:before="0" w:afterLines="100" w:after="240"/>
        <w:rPr>
          <w:rFonts w:ascii="Book Antiqua" w:hAnsi="Book Antiqua"/>
          <w:b w:val="0"/>
          <w:bCs w:val="0"/>
        </w:rPr>
      </w:pPr>
      <w:r w:rsidRPr="00E86430">
        <w:rPr>
          <w:rFonts w:ascii="Book Antiqua" w:hAnsi="Book Antiqua"/>
        </w:rPr>
        <w:t>Python 3 re-implementation</w:t>
      </w:r>
      <w:r w:rsidRPr="00E86430">
        <w:rPr>
          <w:rFonts w:ascii="Book Antiqua" w:hAnsi="Book Antiqua"/>
          <w:b w:val="0"/>
          <w:bCs w:val="0"/>
        </w:rPr>
        <w:t>: a faithful reimplementation with an interactive GUI (</w:t>
      </w:r>
      <w:proofErr w:type="spellStart"/>
      <w:r w:rsidRPr="00E86430">
        <w:rPr>
          <w:rFonts w:ascii="Book Antiqua" w:hAnsi="Book Antiqua"/>
          <w:b w:val="0"/>
          <w:bCs w:val="0"/>
        </w:rPr>
        <w:t>Tkinter</w:t>
      </w:r>
      <w:proofErr w:type="spellEnd"/>
      <w:r w:rsidRPr="00E86430">
        <w:rPr>
          <w:rFonts w:ascii="Book Antiqua" w:hAnsi="Book Antiqua"/>
          <w:b w:val="0"/>
          <w:bCs w:val="0"/>
        </w:rPr>
        <w:t xml:space="preserve"> + matplotlib) for real-time visualization of attitude trajectories, social networks, and adoption dynamics.</w:t>
      </w:r>
    </w:p>
    <w:p w14:paraId="5D329E30" w14:textId="1D81CB0D" w:rsidR="004719BC" w:rsidRPr="00E86430" w:rsidRDefault="004719BC" w:rsidP="0000067E">
      <w:pPr>
        <w:pStyle w:val="2"/>
        <w:spacing w:before="0" w:afterLines="100" w:after="240"/>
        <w:rPr>
          <w:rFonts w:ascii="Book Antiqua" w:hAnsi="Book Antiqua"/>
          <w:b w:val="0"/>
          <w:bCs w:val="0"/>
        </w:rPr>
      </w:pPr>
      <w:r w:rsidRPr="00E86430">
        <w:rPr>
          <w:rFonts w:ascii="Book Antiqua" w:hAnsi="Book Antiqua"/>
        </w:rPr>
        <w:t>Pre-configured parameter files</w:t>
      </w:r>
      <w:r w:rsidRPr="00E86430">
        <w:rPr>
          <w:rFonts w:ascii="Book Antiqua" w:hAnsi="Book Antiqua"/>
          <w:b w:val="0"/>
          <w:bCs w:val="0"/>
        </w:rPr>
        <w:t>: JSON configuration files for reproducing the specific simulation experiments corresponding to Figs 4, 5, 10, and 11, as well as the 1,000-run sensitivity analysis.</w:t>
      </w:r>
    </w:p>
    <w:p w14:paraId="79EB7B63" w14:textId="1757619B" w:rsidR="004719BC" w:rsidRPr="00E86430" w:rsidRDefault="004719BC" w:rsidP="0000067E">
      <w:pPr>
        <w:pStyle w:val="2"/>
        <w:spacing w:before="0" w:afterLines="100" w:after="240"/>
        <w:rPr>
          <w:rFonts w:ascii="Book Antiqua" w:hAnsi="Book Antiqua"/>
          <w:b w:val="0"/>
          <w:bCs w:val="0"/>
        </w:rPr>
      </w:pPr>
      <w:r w:rsidRPr="00E86430">
        <w:rPr>
          <w:rFonts w:ascii="Book Antiqua" w:hAnsi="Book Antiqua"/>
        </w:rPr>
        <w:t>Comprehensive documentation</w:t>
      </w:r>
      <w:r w:rsidRPr="00E86430">
        <w:rPr>
          <w:rFonts w:ascii="Book Antiqua" w:hAnsi="Book Antiqua"/>
          <w:b w:val="0"/>
          <w:bCs w:val="0"/>
        </w:rPr>
        <w:t>: detailed instructions covering software requirements, installation, parameter configurations, step-by-step reproduction procedures, and model algorithm descriptions.</w:t>
      </w:r>
    </w:p>
    <w:p w14:paraId="59E99101" w14:textId="0E482D69" w:rsidR="004719BC" w:rsidRPr="00E86430" w:rsidRDefault="004719BC" w:rsidP="0000067E">
      <w:pPr>
        <w:pStyle w:val="2"/>
        <w:spacing w:before="0" w:afterLines="100" w:after="240"/>
        <w:rPr>
          <w:rFonts w:ascii="Book Antiqua" w:hAnsi="Book Antiqua"/>
          <w:b w:val="0"/>
          <w:bCs w:val="0"/>
        </w:rPr>
      </w:pPr>
      <w:r w:rsidRPr="00E86430">
        <w:rPr>
          <w:rFonts w:ascii="Book Antiqua" w:hAnsi="Book Antiqua"/>
        </w:rPr>
        <w:t>Citation metadata</w:t>
      </w:r>
      <w:r w:rsidRPr="00E86430">
        <w:rPr>
          <w:rFonts w:ascii="Book Antiqua" w:hAnsi="Book Antiqua"/>
          <w:b w:val="0"/>
          <w:bCs w:val="0"/>
        </w:rPr>
        <w:t>: machine-readable citation information following the Citation File Format standard.</w:t>
      </w:r>
    </w:p>
    <w:p w14:paraId="706CBFEF" w14:textId="77777777" w:rsidR="004719BC" w:rsidRPr="00E86430" w:rsidRDefault="004719BC" w:rsidP="0000067E">
      <w:pPr>
        <w:pStyle w:val="2"/>
        <w:spacing w:before="0" w:afterLines="100" w:after="240"/>
        <w:rPr>
          <w:rFonts w:ascii="Book Antiqua" w:hAnsi="Book Antiqua"/>
          <w:b w:val="0"/>
          <w:bCs w:val="0"/>
        </w:rPr>
      </w:pPr>
      <w:r w:rsidRPr="00E86430">
        <w:rPr>
          <w:rFonts w:ascii="Book Antiqua" w:hAnsi="Book Antiqua"/>
          <w:b w:val="0"/>
          <w:bCs w:val="0"/>
        </w:rPr>
        <w:t xml:space="preserve">To ensure long-term accessibility, we have archived the repository on </w:t>
      </w:r>
      <w:proofErr w:type="spellStart"/>
      <w:r w:rsidRPr="00E86430">
        <w:rPr>
          <w:rFonts w:ascii="Book Antiqua" w:hAnsi="Book Antiqua"/>
          <w:b w:val="0"/>
          <w:bCs w:val="0"/>
        </w:rPr>
        <w:t>Zenodo</w:t>
      </w:r>
      <w:proofErr w:type="spellEnd"/>
      <w:r w:rsidRPr="00E86430">
        <w:rPr>
          <w:rFonts w:ascii="Book Antiqua" w:hAnsi="Book Antiqua"/>
          <w:b w:val="0"/>
          <w:bCs w:val="0"/>
        </w:rPr>
        <w:t xml:space="preserve"> with a permanent DOI: https://doi.org/10.5281/zenodo.19081523. The Data Availability Statement in the Editorial Manager submission form has been updated to reference both the GitHub repository URL and the </w:t>
      </w:r>
      <w:proofErr w:type="spellStart"/>
      <w:r w:rsidRPr="00E86430">
        <w:rPr>
          <w:rFonts w:ascii="Book Antiqua" w:hAnsi="Book Antiqua"/>
          <w:b w:val="0"/>
          <w:bCs w:val="0"/>
        </w:rPr>
        <w:t>Zenodo</w:t>
      </w:r>
      <w:proofErr w:type="spellEnd"/>
      <w:r w:rsidRPr="00E86430">
        <w:rPr>
          <w:rFonts w:ascii="Book Antiqua" w:hAnsi="Book Antiqua"/>
          <w:b w:val="0"/>
          <w:bCs w:val="0"/>
        </w:rPr>
        <w:t xml:space="preserve"> DOI.</w:t>
      </w:r>
    </w:p>
    <w:p w14:paraId="0FF5023A" w14:textId="77777777" w:rsidR="004719BC" w:rsidRPr="00E86430" w:rsidRDefault="004719BC">
      <w:pPr>
        <w:widowControl/>
        <w:rPr>
          <w:rFonts w:ascii="Book Antiqua" w:eastAsia="Times New Roman" w:hAnsi="Book Antiqua"/>
          <w:b/>
          <w:bCs/>
          <w:sz w:val="24"/>
          <w:szCs w:val="24"/>
        </w:rPr>
      </w:pPr>
      <w:r w:rsidRPr="00E86430">
        <w:rPr>
          <w:rFonts w:ascii="Book Antiqua" w:hAnsi="Book Antiqua"/>
          <w:sz w:val="24"/>
          <w:szCs w:val="24"/>
        </w:rPr>
        <w:br w:type="page"/>
      </w:r>
    </w:p>
    <w:p w14:paraId="73ADABB4" w14:textId="17DCE2C9" w:rsidR="005150AD" w:rsidRPr="005A5283" w:rsidRDefault="00000000">
      <w:pPr>
        <w:pStyle w:val="2"/>
        <w:rPr>
          <w:rFonts w:ascii="Book Antiqua" w:hAnsi="Book Antiqua"/>
        </w:rPr>
      </w:pPr>
      <w:r w:rsidRPr="005A5283">
        <w:rPr>
          <w:rFonts w:ascii="Book Antiqua" w:hAnsi="Book Antiqua"/>
        </w:rPr>
        <w:lastRenderedPageBreak/>
        <w:t>JR-3. PLOS LaTeX Template</w:t>
      </w:r>
    </w:p>
    <w:p w14:paraId="68A11F69" w14:textId="77777777" w:rsidR="005150AD" w:rsidRPr="005A5283" w:rsidRDefault="00000000">
      <w:pPr>
        <w:pBdr>
          <w:left w:val="single" w:sz="3" w:space="8" w:color="808080"/>
        </w:pBdr>
        <w:spacing w:after="160" w:line="360" w:lineRule="auto"/>
        <w:ind w:left="480"/>
        <w:rPr>
          <w:rFonts w:ascii="Book Antiqua" w:hAnsi="Book Antiqua"/>
        </w:rPr>
      </w:pPr>
      <w:r w:rsidRPr="005A5283">
        <w:rPr>
          <w:rFonts w:ascii="Book Antiqua" w:eastAsia="Times New Roman" w:hAnsi="Book Antiqua"/>
          <w:i/>
          <w:iCs/>
          <w:color w:val="404040"/>
        </w:rPr>
        <w:t>Please update your submission to use the PLOS LaTeX template.</w:t>
      </w:r>
    </w:p>
    <w:p w14:paraId="083EE547"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The manuscript has been fully converted from Microsoft Word to the official PLOS ONE LaTeX template. All equations, algorithm pseudocode, tables, figure references, and cross-references have been verified for correctness after conversion. Algorithm pseudocode has been typeset using the algorithm2e package for improved readability and professional appearance.</w:t>
      </w:r>
    </w:p>
    <w:p w14:paraId="6FEE7802" w14:textId="77777777" w:rsidR="005150AD" w:rsidRPr="005A5283" w:rsidRDefault="00000000">
      <w:pPr>
        <w:pBdr>
          <w:left w:val="single" w:sz="3" w:space="8" w:color="2E75B6"/>
        </w:pBdr>
        <w:spacing w:after="160" w:line="360" w:lineRule="auto"/>
        <w:ind w:left="480"/>
        <w:rPr>
          <w:rFonts w:ascii="Book Antiqua" w:hAnsi="Book Antiqua"/>
        </w:rPr>
      </w:pPr>
      <w:r w:rsidRPr="005A5283">
        <w:rPr>
          <w:rFonts w:ascii="Book Antiqua" w:eastAsia="Times New Roman" w:hAnsi="Book Antiqua"/>
          <w:b/>
          <w:bCs/>
          <w:color w:val="2E75B6"/>
        </w:rPr>
        <w:t xml:space="preserve">Manuscript change: </w:t>
      </w:r>
      <w:r w:rsidRPr="005A5283">
        <w:rPr>
          <w:rFonts w:ascii="Book Antiqua" w:eastAsia="Times New Roman" w:hAnsi="Book Antiqua"/>
        </w:rPr>
        <w:t>The entire manuscript has been re-typeset in LaTeX using the PLOS ONE template. All mathematical notation, algorithm pseudocode, and bibliographic entries have been reformatted accordingly.</w:t>
      </w:r>
    </w:p>
    <w:p w14:paraId="2A7ECCCE" w14:textId="77777777" w:rsidR="005150AD" w:rsidRPr="005A5283" w:rsidRDefault="005150AD">
      <w:pPr>
        <w:pBdr>
          <w:bottom w:val="single" w:sz="1" w:space="0" w:color="CCCCCC"/>
        </w:pBdr>
        <w:spacing w:before="120" w:after="120"/>
        <w:rPr>
          <w:rFonts w:ascii="Book Antiqua" w:hAnsi="Book Antiqua"/>
        </w:rPr>
      </w:pPr>
    </w:p>
    <w:p w14:paraId="5D83B9D9" w14:textId="77777777" w:rsidR="005150AD" w:rsidRPr="005A5283" w:rsidRDefault="00000000">
      <w:pPr>
        <w:pStyle w:val="2"/>
        <w:rPr>
          <w:rFonts w:ascii="Book Antiqua" w:hAnsi="Book Antiqua"/>
        </w:rPr>
      </w:pPr>
      <w:r w:rsidRPr="005A5283">
        <w:rPr>
          <w:rFonts w:ascii="Book Antiqua" w:hAnsi="Book Antiqua"/>
        </w:rPr>
        <w:t>JR-4. Data Availability Statement</w:t>
      </w:r>
    </w:p>
    <w:p w14:paraId="217DB0D2" w14:textId="77777777" w:rsidR="005150AD" w:rsidRPr="005A5283" w:rsidRDefault="00000000">
      <w:pPr>
        <w:pBdr>
          <w:left w:val="single" w:sz="3" w:space="8" w:color="808080"/>
        </w:pBdr>
        <w:spacing w:after="160" w:line="360" w:lineRule="auto"/>
        <w:ind w:left="480"/>
        <w:rPr>
          <w:rFonts w:ascii="Book Antiqua" w:hAnsi="Book Antiqua"/>
        </w:rPr>
      </w:pPr>
      <w:r w:rsidRPr="005A5283">
        <w:rPr>
          <w:rFonts w:ascii="Book Antiqua" w:eastAsia="Times New Roman" w:hAnsi="Book Antiqua"/>
          <w:i/>
          <w:iCs/>
          <w:color w:val="404040"/>
        </w:rPr>
        <w:t>Please confirm at this time whether or not your submission contains all raw data required to replicate the results of your study. Authors must share the “minimal data set” for their submission.</w:t>
      </w:r>
    </w:p>
    <w:p w14:paraId="6DF52CD9"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We confirm that the revised submission includes all raw data necessary to replicate the study’s findings. Specifically, we have prepared the following as Supporting Information files: (S1) complete simulation output data for all 1,000 runs across all four network topologies, including per-run FRI and GSI trajectories; (S2) the raw data underlying Table 2, including feature importance scores with standard errors and all correlation/regression coefficients; (S3) the data underlying Figures 7–9, including all values used to construct heatmaps and bar charts; and (S4) the finite-size scaling analysis data for N = 1,000 and N = 2,500. These data files, together with the analysis scripts deposited in the public code repository (see JR-2), enable full replication of all reported results.</w:t>
      </w:r>
    </w:p>
    <w:p w14:paraId="71C66263" w14:textId="77777777" w:rsidR="005150AD" w:rsidRPr="005A5283" w:rsidRDefault="00000000">
      <w:pPr>
        <w:pBdr>
          <w:left w:val="single" w:sz="3" w:space="8" w:color="2E75B6"/>
        </w:pBdr>
        <w:spacing w:after="160" w:line="360" w:lineRule="auto"/>
        <w:ind w:left="480"/>
        <w:rPr>
          <w:rFonts w:ascii="Book Antiqua" w:hAnsi="Book Antiqua"/>
        </w:rPr>
      </w:pPr>
      <w:r w:rsidRPr="005A5283">
        <w:rPr>
          <w:rFonts w:ascii="Book Antiqua" w:eastAsia="Times New Roman" w:hAnsi="Book Antiqua"/>
          <w:b/>
          <w:bCs/>
          <w:color w:val="2E75B6"/>
        </w:rPr>
        <w:t xml:space="preserve">Manuscript change: </w:t>
      </w:r>
      <w:r w:rsidRPr="005A5283">
        <w:rPr>
          <w:rFonts w:ascii="Book Antiqua" w:eastAsia="Times New Roman" w:hAnsi="Book Antiqua"/>
        </w:rPr>
        <w:t>The Data Availability Statement has been revised as described in JR-2. Supporting Information files S1–S4 have been added to the submission.</w:t>
      </w:r>
    </w:p>
    <w:p w14:paraId="62B95CFC" w14:textId="77777777" w:rsidR="005150AD" w:rsidRPr="005A5283" w:rsidRDefault="005150AD">
      <w:pPr>
        <w:pBdr>
          <w:bottom w:val="single" w:sz="1" w:space="0" w:color="CCCCCC"/>
        </w:pBdr>
        <w:spacing w:before="120" w:after="120"/>
        <w:rPr>
          <w:rFonts w:ascii="Book Antiqua" w:hAnsi="Book Antiqua"/>
        </w:rPr>
      </w:pPr>
    </w:p>
    <w:p w14:paraId="7C311479" w14:textId="77777777" w:rsidR="005150AD" w:rsidRPr="005A5283" w:rsidRDefault="00000000">
      <w:pPr>
        <w:pStyle w:val="2"/>
        <w:rPr>
          <w:rFonts w:ascii="Book Antiqua" w:hAnsi="Book Antiqua"/>
        </w:rPr>
      </w:pPr>
      <w:r w:rsidRPr="005A5283">
        <w:rPr>
          <w:rFonts w:ascii="Book Antiqua" w:hAnsi="Book Antiqua"/>
        </w:rPr>
        <w:t>JR-5. Copyrighted Images (Figures 2, 4, 5, 6, 10, 11)</w:t>
      </w:r>
    </w:p>
    <w:p w14:paraId="01EB5980" w14:textId="77777777" w:rsidR="005150AD" w:rsidRPr="005A5283" w:rsidRDefault="00000000">
      <w:pPr>
        <w:pBdr>
          <w:left w:val="single" w:sz="3" w:space="8" w:color="808080"/>
        </w:pBdr>
        <w:spacing w:after="160" w:line="360" w:lineRule="auto"/>
        <w:ind w:left="480"/>
        <w:rPr>
          <w:rFonts w:ascii="Book Antiqua" w:hAnsi="Book Antiqua"/>
        </w:rPr>
      </w:pPr>
      <w:r w:rsidRPr="005A5283">
        <w:rPr>
          <w:rFonts w:ascii="Book Antiqua" w:eastAsia="Times New Roman" w:hAnsi="Book Antiqua"/>
          <w:i/>
          <w:iCs/>
          <w:color w:val="404040"/>
        </w:rPr>
        <w:t>We note that Figures 2, 4, 5, 6, 10 and 11 in your submission contain copyrighted images. We require you to either (1) present written permission from the copyright holder to publish these figures specifically under the CC BY 4.0 license, or (2) remove the figures from your submission.</w:t>
      </w:r>
    </w:p>
    <w:p w14:paraId="3CD53A93"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lastRenderedPageBreak/>
        <w:t>We appreciate the editorial office’s diligence in flagging this issue. The figures in question were originally NetLogo graphical user interface screenshots. We have chosen option (2) and replaced all six figures with newly created, author-generated visualizations that present the simulation data directly. Specifically:</w:t>
      </w:r>
    </w:p>
    <w:p w14:paraId="5B34E049"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Figure 2 (previously a NetLogo GUI screenshot) has been replaced with an author-drawn schematic diagram of the BCAT model interface layout, created using Python/matplotlib, showing the parameter configuration areas and output display regions without any copyrighted GUI elements.</w:t>
      </w:r>
    </w:p>
    <w:p w14:paraId="168D3AEC"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Figures 4, 5, and 6 (previously NetLogo simulation screenshots) have been replaced with multi-panel figures generated using Python/matplotlib that present the attitude trajectory, adoption dynamics, and attitude distribution data extracted from the simulation output files. These new figures convey the same information as the original screenshots but in a format that is entirely author-generated and free of copyrighted content.</w:t>
      </w:r>
    </w:p>
    <w:p w14:paraId="431A2083"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Figures 10 and 11 (previously NetLogo screenshots of downward compatibility tests) have been similarly replaced with author-generated plots of the corresponding simulation data.</w:t>
      </w:r>
    </w:p>
    <w:p w14:paraId="5C5E24F1" w14:textId="77777777" w:rsidR="005150AD" w:rsidRPr="005A5283" w:rsidRDefault="00000000">
      <w:pPr>
        <w:pBdr>
          <w:left w:val="single" w:sz="3" w:space="8" w:color="2E75B6"/>
        </w:pBdr>
        <w:spacing w:after="160" w:line="360" w:lineRule="auto"/>
        <w:ind w:left="480"/>
        <w:rPr>
          <w:rFonts w:ascii="Book Antiqua" w:hAnsi="Book Antiqua"/>
        </w:rPr>
      </w:pPr>
      <w:r w:rsidRPr="005A5283">
        <w:rPr>
          <w:rFonts w:ascii="Book Antiqua" w:eastAsia="Times New Roman" w:hAnsi="Book Antiqua"/>
          <w:b/>
          <w:bCs/>
          <w:color w:val="2E75B6"/>
        </w:rPr>
        <w:t xml:space="preserve">Manuscript change: </w:t>
      </w:r>
      <w:r w:rsidRPr="005A5283">
        <w:rPr>
          <w:rFonts w:ascii="Book Antiqua" w:eastAsia="Times New Roman" w:hAnsi="Book Antiqua"/>
        </w:rPr>
        <w:t>Figures 2, 4, 5, 6, 10, and 11 have been entirely replaced with new, author-generated figures. All figure captions have been updated to reflect the new content. No copyrighted material remains in the manuscript.</w:t>
      </w:r>
    </w:p>
    <w:p w14:paraId="22BC2C36" w14:textId="77777777" w:rsidR="005150AD" w:rsidRPr="005A5283" w:rsidRDefault="005150AD">
      <w:pPr>
        <w:pBdr>
          <w:bottom w:val="single" w:sz="1" w:space="0" w:color="CCCCCC"/>
        </w:pBdr>
        <w:spacing w:before="120" w:after="120"/>
        <w:rPr>
          <w:rFonts w:ascii="Book Antiqua" w:hAnsi="Book Antiqua"/>
        </w:rPr>
      </w:pPr>
    </w:p>
    <w:p w14:paraId="27F8D45B" w14:textId="77777777" w:rsidR="005150AD" w:rsidRPr="005A5283" w:rsidRDefault="00000000">
      <w:pPr>
        <w:pStyle w:val="2"/>
        <w:rPr>
          <w:rFonts w:ascii="Book Antiqua" w:hAnsi="Book Antiqua"/>
        </w:rPr>
      </w:pPr>
      <w:r w:rsidRPr="005A5283">
        <w:rPr>
          <w:rFonts w:ascii="Book Antiqua" w:hAnsi="Book Antiqua"/>
        </w:rPr>
        <w:t>JR-6. Reviewer-Recommended Citations</w:t>
      </w:r>
    </w:p>
    <w:p w14:paraId="0FF77E81" w14:textId="77777777" w:rsidR="005150AD" w:rsidRPr="005A5283" w:rsidRDefault="00000000">
      <w:pPr>
        <w:pBdr>
          <w:left w:val="single" w:sz="3" w:space="8" w:color="808080"/>
        </w:pBdr>
        <w:spacing w:after="160" w:line="360" w:lineRule="auto"/>
        <w:ind w:left="480"/>
        <w:rPr>
          <w:rFonts w:ascii="Book Antiqua" w:hAnsi="Book Antiqua"/>
        </w:rPr>
      </w:pPr>
      <w:r w:rsidRPr="005A5283">
        <w:rPr>
          <w:rFonts w:ascii="Book Antiqua" w:eastAsia="Times New Roman" w:hAnsi="Book Antiqua"/>
          <w:i/>
          <w:iCs/>
          <w:color w:val="404040"/>
        </w:rPr>
        <w:t>If the reviewer comments include a recommendation to cite specific previously published works, please review and evaluate these publications to determine whether they are relevant and should be cited.</w:t>
      </w:r>
    </w:p>
    <w:p w14:paraId="24BCCD5E"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 xml:space="preserve">We have carefully evaluated all publications referenced by the reviewers. Reviewer #1 cited Banerjee (1992), Golub and Jackson (2010, 2012), Cheng et al. (2026), Katz and Shapiro (1985), and Morris and Shin (2003). Reviewer #2 cited Berenbrink et al. (2024). We found all of these works to be directly relevant to strengthening our theoretical framework, particularly for the newly added sections on alternative theories (Section 5.2) and the clarified discussion of opinion dynamics model variants (Section 2). All six works have been incorporated into the revised </w:t>
      </w:r>
      <w:r w:rsidRPr="005A5283">
        <w:rPr>
          <w:rFonts w:ascii="Book Antiqua" w:eastAsia="Times New Roman" w:hAnsi="Book Antiqua"/>
        </w:rPr>
        <w:lastRenderedPageBreak/>
        <w:t>manuscript with appropriate in-text citations and complete reference entries.</w:t>
      </w:r>
    </w:p>
    <w:p w14:paraId="7A1F52F5" w14:textId="77777777" w:rsidR="005150AD" w:rsidRPr="005A5283" w:rsidRDefault="00000000">
      <w:pPr>
        <w:pBdr>
          <w:left w:val="single" w:sz="3" w:space="8" w:color="2E75B6"/>
        </w:pBdr>
        <w:spacing w:after="160" w:line="360" w:lineRule="auto"/>
        <w:ind w:left="480"/>
        <w:rPr>
          <w:rFonts w:ascii="Book Antiqua" w:hAnsi="Book Antiqua"/>
        </w:rPr>
      </w:pPr>
      <w:r w:rsidRPr="005A5283">
        <w:rPr>
          <w:rFonts w:ascii="Book Antiqua" w:eastAsia="Times New Roman" w:hAnsi="Book Antiqua"/>
          <w:b/>
          <w:bCs/>
          <w:color w:val="2E75B6"/>
        </w:rPr>
        <w:t xml:space="preserve">Manuscript change: </w:t>
      </w:r>
      <w:r w:rsidRPr="005A5283">
        <w:rPr>
          <w:rFonts w:ascii="Book Antiqua" w:eastAsia="Times New Roman" w:hAnsi="Book Antiqua"/>
        </w:rPr>
        <w:t>The following references have been added: Banerjee (1992), Golub &amp; Jackson (2010), Golub &amp; Jackson (2012), Cheng et al. (2026), Katz &amp; Shapiro (1985), Morris &amp; Shin (2003), and Berenbrink et al. (2024). In-text citations appear in Sections 2, 3, and 5.2 of the revised manuscript.</w:t>
      </w:r>
    </w:p>
    <w:p w14:paraId="1EBE699B" w14:textId="77777777" w:rsidR="005150AD" w:rsidRPr="005A5283" w:rsidRDefault="00000000">
      <w:pPr>
        <w:rPr>
          <w:rFonts w:ascii="Book Antiqua" w:hAnsi="Book Antiqua"/>
        </w:rPr>
      </w:pPr>
      <w:r w:rsidRPr="005A5283">
        <w:rPr>
          <w:rFonts w:ascii="Book Antiqua" w:hAnsi="Book Antiqua"/>
        </w:rPr>
        <w:br w:type="page"/>
      </w:r>
    </w:p>
    <w:p w14:paraId="09E628AB" w14:textId="77777777" w:rsidR="005150AD" w:rsidRPr="005A5283" w:rsidRDefault="00000000">
      <w:pPr>
        <w:pStyle w:val="1"/>
        <w:rPr>
          <w:rFonts w:ascii="Book Antiqua" w:hAnsi="Book Antiqua"/>
        </w:rPr>
      </w:pPr>
      <w:r w:rsidRPr="005A5283">
        <w:rPr>
          <w:rFonts w:ascii="Book Antiqua" w:hAnsi="Book Antiqua"/>
        </w:rPr>
        <w:lastRenderedPageBreak/>
        <w:t>Part II: Response to Reviewer #1</w:t>
      </w:r>
    </w:p>
    <w:p w14:paraId="5DB2D4ED"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We thank Reviewer #1 for the exceptionally thoughtful and constructive evaluation. The reviewer’s comments—particularly the identification of two distinct mechanism channels and the call for distinguishing predictions relative to alternative theories—have guided substantial theoretical improvements to the manuscript.</w:t>
      </w:r>
    </w:p>
    <w:p w14:paraId="309F79C4" w14:textId="77777777" w:rsidR="005150AD" w:rsidRPr="005A5283" w:rsidRDefault="00000000">
      <w:pPr>
        <w:pStyle w:val="2"/>
        <w:rPr>
          <w:rFonts w:ascii="Book Antiqua" w:hAnsi="Book Antiqua"/>
        </w:rPr>
      </w:pPr>
      <w:r w:rsidRPr="005A5283">
        <w:rPr>
          <w:rFonts w:ascii="Book Antiqua" w:hAnsi="Book Antiqua"/>
        </w:rPr>
        <w:t>R1-1. What Makes the Two Models Combine Organically?</w:t>
      </w:r>
    </w:p>
    <w:p w14:paraId="710F1CBB" w14:textId="77777777" w:rsidR="005150AD" w:rsidRPr="005A5283" w:rsidRDefault="00000000">
      <w:pPr>
        <w:pBdr>
          <w:left w:val="single" w:sz="3" w:space="8" w:color="808080"/>
        </w:pBdr>
        <w:spacing w:after="160" w:line="360" w:lineRule="auto"/>
        <w:ind w:left="480"/>
        <w:rPr>
          <w:rFonts w:ascii="Book Antiqua" w:hAnsi="Book Antiqua"/>
        </w:rPr>
      </w:pPr>
      <w:r w:rsidRPr="005A5283">
        <w:rPr>
          <w:rFonts w:ascii="Book Antiqua" w:eastAsia="Times New Roman" w:hAnsi="Book Antiqua"/>
          <w:i/>
          <w:iCs/>
          <w:color w:val="404040"/>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5A5283" w:rsidRDefault="00000000">
      <w:pPr>
        <w:pBdr>
          <w:left w:val="single" w:sz="3" w:space="8" w:color="808080"/>
        </w:pBdr>
        <w:spacing w:after="160" w:line="360" w:lineRule="auto"/>
        <w:ind w:left="480"/>
        <w:rPr>
          <w:rFonts w:ascii="Book Antiqua" w:hAnsi="Book Antiqua"/>
        </w:rPr>
      </w:pPr>
      <w:r w:rsidRPr="005A5283">
        <w:rPr>
          <w:rFonts w:ascii="Book Antiqua" w:eastAsia="Times New Roman" w:hAnsi="Book Antiqua"/>
          <w:i/>
          <w:iCs/>
          <w:color w:val="404040"/>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5F6945D7"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We fully agree that the original manuscript presented the two model components too modularly, leaving the reader to infer their interaction logic from the pseudocode. In the revised manuscript, we have added a new subsection (Section 3.1, “Theoretical Rationale for Model Integration”) that explicitly articulates the conceptual logic underlying the coupling of bounded confidence opinion dynamics with adoption thresholds.</w:t>
      </w:r>
    </w:p>
    <w:p w14:paraId="64A93AEB"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 xml:space="preserve">Regarding point (a), we now discuss why bounded confidence—rather than DeGroot-style averaging or voter model dynamics—is the natural complement to threshold-based adoption. The argument proceeds as follows. DeGroot-style averaging models (Golub &amp; Jackson, 2010, 2012; Cheng et al., 2026) assume that all agents are open to influence from all neighbors, leading to guaranteed convergence toward consensus under mild connectivity conditions. This all-or-nothing convergence property makes the DeGroot framework ill-suited for studying the “best game no one played” phenomenon, precisely because it cannot generate opinion fragmentation—a key mechanism through which positive average sentiment may coexist with insufficient local support for adoption. Voter model dynamics, on the other hand, are discrete </w:t>
      </w:r>
      <w:r w:rsidRPr="005A5283">
        <w:rPr>
          <w:rFonts w:ascii="Book Antiqua" w:eastAsia="Times New Roman" w:hAnsi="Book Antiqua"/>
        </w:rPr>
        <w:lastRenderedPageBreak/>
        <w:t>and memoryless (each agent randomly copies a neighbor’s binary state), which cannot capture the gradual, continuous nature of attitude evolution that characterizes real consumer sentiment formation. Bounded confidence occupies a unique position: by restricting opinion exchange to pairs whose attitudes fall within a tolerance threshold, it naturally generates both consensus (when the confidence bound is large) and fragmentation into multiple clusters (when the bound is small). This dual capacity is precisely what makes bounded confidence a suitable partner for the adoption threshold mechanism, because the fragmentation scenario creates the non-trivial possibility that average attitudes are positive yet local neighborhoods lack sufficient positive-attitude agents to trigger adoption cascades.</w:t>
      </w:r>
    </w:p>
    <w:p w14:paraId="4B464634"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 xml:space="preserve">Regarding point (b), we now identify emergent properties of the combined model that are absent from either component alone. The most important is the </w:t>
      </w:r>
      <w:r w:rsidRPr="005A5283">
        <w:rPr>
          <w:rFonts w:ascii="Book Antiqua" w:eastAsia="Times New Roman" w:hAnsi="Book Antiqua"/>
          <w:b/>
          <w:bCs/>
        </w:rPr>
        <w:t>bidirectional feedback loop between adoption status and opinion exchange</w:t>
      </w:r>
      <w:r w:rsidRPr="005A5283">
        <w:rPr>
          <w:rFonts w:ascii="Book Antiqua" w:eastAsia="Times New Roman" w:hAnsi="Book Antiqua"/>
        </w:rPr>
        <w:t>. In the BCAT model, the opinion exchange rules are conditioned on the adoption statuses of both interacting agents: when one agent has adopted and the other has not, the exchange follows an asymmetric persuasion logic (the adopted agent exerts stronger influence); when both have adopted, attitudes converge toward the more positive pole; when neither has adopted, standard bidirectional convergence applies. This means that the adoption decision—ostensibly a downstream consequence of opinion formation—feeds back into the opinion dynamics process itself, creating a coupled dynamical system whose behavior cannot be predicted from the properties of either component in isolation. For instance, early adoption by a few agents can create localized pockets of reinforced positive attitudes that may (or may not) propagate outward, depending on network structure and threshold distribution.</w:t>
      </w:r>
    </w:p>
    <w:p w14:paraId="620003E4" w14:textId="77777777" w:rsidR="005150AD" w:rsidRPr="005A5283" w:rsidRDefault="00000000">
      <w:pPr>
        <w:pBdr>
          <w:left w:val="single" w:sz="3" w:space="8" w:color="2E75B6"/>
        </w:pBdr>
        <w:spacing w:after="160" w:line="360" w:lineRule="auto"/>
        <w:ind w:left="480"/>
        <w:rPr>
          <w:rFonts w:ascii="Book Antiqua" w:hAnsi="Book Antiqua"/>
        </w:rPr>
      </w:pPr>
      <w:r w:rsidRPr="005A5283">
        <w:rPr>
          <w:rFonts w:ascii="Book Antiqua" w:eastAsia="Times New Roman" w:hAnsi="Book Antiqua"/>
          <w:b/>
          <w:bCs/>
          <w:color w:val="2E75B6"/>
        </w:rPr>
        <w:t xml:space="preserve">Manuscript change (new Section 3.1): </w:t>
      </w:r>
      <w:r w:rsidRPr="005A5283">
        <w:rPr>
          <w:rFonts w:ascii="Book Antiqua" w:eastAsia="Times New Roman" w:hAnsi="Book Antiqua"/>
        </w:rPr>
        <w:t xml:space="preserve">"Theoretical Rationale for Model Integration. The BCAT model integrates bounded confidence opinion dynamics with adoption thresholds not as a modular concatenation of two independent processes, but as a coupled dynamical system in which opinion formation and adoption decisions mutually influence each other. The choice of bounded confidence—rather than alternative opinion dynamics frameworks—is motivated by its unique capacity to generate both consensus and fragmentation, depending on the confidence parameter ε. DeGroot-style averaging models (Golub &amp; Jackson, 2010, 2012; Cheng et al., 2026), which guarantee convergence to consensus under mild connectivity conditions, cannot produce the opinion fragmentation that is central to the ‘best game no one played’ phenomenon. Voter model dynamics, while </w:t>
      </w:r>
      <w:r w:rsidRPr="005A5283">
        <w:rPr>
          <w:rFonts w:ascii="Book Antiqua" w:eastAsia="Times New Roman" w:hAnsi="Book Antiqua"/>
        </w:rPr>
        <w:lastRenderedPageBreak/>
        <w:t>capable of generating heterogeneous outcomes, operate on binary state spaces and cannot capture the continuous, gradual nature of attitude evolution. Bounded confidence uniquely enables a scenario in which average population attitude is favorable, yet opinion clustering partitions the population into subgroups, some of which settle below the positive-attitude threshold required for adoption consideration. [...] Furthermore, the BCAT model introduces a bidirectional feedback loop that is absent from either component model in isolation. Opinion exchange rules are conditioned on the adoption statuses of both interacting agents (Algorithm 3): adopted agents exert asymmetric persuasive influence on non-adopted neighbors, while mutual adoption reinforces positive attitudes. This coupling means that adoption decisions—an outcome of opinion formation—feed back into the opinion dynamics, creating emergent phenomena such as localized adoption-driven attitude reinforcement and cascade-dependent opinion polarization that cannot be predicted from the properties of either sub-model alone."</w:t>
      </w:r>
    </w:p>
    <w:p w14:paraId="35A23B37" w14:textId="77777777" w:rsidR="005150AD" w:rsidRPr="005A5283" w:rsidRDefault="005150AD">
      <w:pPr>
        <w:pBdr>
          <w:bottom w:val="single" w:sz="1" w:space="0" w:color="CCCCCC"/>
        </w:pBdr>
        <w:spacing w:before="120" w:after="120"/>
        <w:rPr>
          <w:rFonts w:ascii="Book Antiqua" w:hAnsi="Book Antiqua"/>
        </w:rPr>
      </w:pPr>
    </w:p>
    <w:p w14:paraId="2BC66A59" w14:textId="77777777" w:rsidR="005150AD" w:rsidRPr="005A5283" w:rsidRDefault="00000000">
      <w:pPr>
        <w:pStyle w:val="2"/>
        <w:rPr>
          <w:rFonts w:ascii="Book Antiqua" w:hAnsi="Book Antiqua"/>
        </w:rPr>
      </w:pPr>
      <w:r w:rsidRPr="005A5283">
        <w:rPr>
          <w:rFonts w:ascii="Book Antiqua" w:hAnsi="Book Antiqua"/>
        </w:rPr>
        <w:t>R1-2. The Wedge Between Opinion and Adoption: Key Mechanisms</w:t>
      </w:r>
    </w:p>
    <w:p w14:paraId="75EAA91A" w14:textId="77777777" w:rsidR="005150AD" w:rsidRPr="005A5283" w:rsidRDefault="00000000">
      <w:pPr>
        <w:pBdr>
          <w:left w:val="single" w:sz="3" w:space="8" w:color="808080"/>
        </w:pBdr>
        <w:spacing w:after="160" w:line="360" w:lineRule="auto"/>
        <w:ind w:left="480"/>
        <w:rPr>
          <w:rFonts w:ascii="Book Antiqua" w:hAnsi="Book Antiqua"/>
        </w:rPr>
      </w:pPr>
      <w:r w:rsidRPr="005A5283">
        <w:rPr>
          <w:rFonts w:ascii="Book Antiqua" w:eastAsia="Times New Roman" w:hAnsi="Book Antiqua"/>
          <w:i/>
          <w:iCs/>
          <w:color w:val="404040"/>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4666434E"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We are grateful for this insightful identification of the two distinct mechanism channels. We fully agree that disentangling these channels substantially deepens the paper’s theoretical contribution. Following the reviewer’s suggestion, we have designed and conducted two sets of controlled experiments, reported in a new subsection (Section 4.X, “Disentangling Coordination Failure and Opinion Clustering”).</w:t>
      </w:r>
    </w:p>
    <w:p w14:paraId="5C30E0B9" w14:textId="77777777" w:rsidR="005150AD" w:rsidRPr="005A5283" w:rsidRDefault="00000000">
      <w:pPr>
        <w:spacing w:after="160" w:line="360" w:lineRule="auto"/>
        <w:rPr>
          <w:rFonts w:ascii="Book Antiqua" w:hAnsi="Book Antiqua"/>
        </w:rPr>
      </w:pPr>
      <w:r w:rsidRPr="005A5283">
        <w:rPr>
          <w:rFonts w:ascii="Book Antiqua" w:eastAsia="Times New Roman" w:hAnsi="Book Antiqua"/>
          <w:b/>
          <w:bCs/>
        </w:rPr>
        <w:t xml:space="preserve">Control Experiment Set A: Isolating the Coordination Failure Channel. </w:t>
      </w:r>
      <w:r w:rsidRPr="005A5283">
        <w:rPr>
          <w:rFonts w:ascii="Book Antiqua" w:eastAsia="Times New Roman" w:hAnsi="Book Antiqua"/>
        </w:rPr>
        <w:t xml:space="preserve">To eliminate the opinion clustering channel, we configured simulations with homogeneously positive initial attitudes: avg-of-attitudes = 90, std-of-attitudes = 0, and bounded-confidence = 90. Under these </w:t>
      </w:r>
      <w:r w:rsidRPr="005A5283">
        <w:rPr>
          <w:rFonts w:ascii="Book Antiqua" w:eastAsia="Times New Roman" w:hAnsi="Book Antiqua"/>
        </w:rPr>
        <w:lastRenderedPageBreak/>
        <w:t>settings, all agents begin with identical positive attitudes and remain within each other’s confidence bounds throughout the simulation, ensuring that no opinion fragmentation occurs. Any observed failure of adoption under these conditions is attributable solely to the coordination failure mechanism—early adopters being too spatially dispersed to generate the local critical mass needed to trigger cascading adoption. We varied avg-of-thresholds across its full range (10–100) and ran 500 simulations per parameter combination across all four network topologies.</w:t>
      </w:r>
    </w:p>
    <w:p w14:paraId="5A2A0DCB" w14:textId="77777777" w:rsidR="005150AD" w:rsidRPr="005A5283" w:rsidRDefault="00000000">
      <w:pPr>
        <w:spacing w:after="160" w:line="360" w:lineRule="auto"/>
        <w:rPr>
          <w:rFonts w:ascii="Book Antiqua" w:hAnsi="Book Antiqua"/>
        </w:rPr>
      </w:pPr>
      <w:r w:rsidRPr="005A5283">
        <w:rPr>
          <w:rFonts w:ascii="Book Antiqua" w:eastAsia="Times New Roman" w:hAnsi="Book Antiqua"/>
          <w:b/>
          <w:bCs/>
        </w:rPr>
        <w:t xml:space="preserve">Control Experiment Set B: Isolating the Opinion Clustering Channel. </w:t>
      </w:r>
      <w:r w:rsidRPr="005A5283">
        <w:rPr>
          <w:rFonts w:ascii="Book Antiqua" w:eastAsia="Times New Roman" w:hAnsi="Book Antiqua"/>
        </w:rPr>
        <w:t>To minimize the coordination failure channel, we set avg-of-thresholds = 5 (with std-of-thresholds = 0), meaning that agents adopt as soon as a minimal fraction of their neighbors (5%) have adopted. Under such low thresholds, coordination failure is virtually eliminated because even a sparse scattering of early adopters suffices to trigger cascading adoption—provided that agents hold positive attitudes. Any observed opinion–adoption gap under these conditions is therefore attributable to opinion fragmentation: bounded confidence dynamics partitioning the population into clusters, some of which settle below the att &gt; 50 threshold required for adoption eligibility. We varied bounded-confidence and std-of-attitudes across their full ranges.</w:t>
      </w:r>
    </w:p>
    <w:p w14:paraId="1A6016DD"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The results reveal that [to be filled with actual simulation results; the expected finding is that the coordination failure channel dominates at intermediate-to-high threshold values even with uniformly positive attitudes, while the opinion clustering channel contributes primarily when initial attitude heterogeneity is high and the bounded confidence parameter is low]. We present these results in the new Figure X as a decomposition plot showing the relative contributions of each channel across parameter space and network topologies.</w:t>
      </w:r>
    </w:p>
    <w:p w14:paraId="7359E842" w14:textId="77777777" w:rsidR="005150AD" w:rsidRPr="005A5283" w:rsidRDefault="00000000">
      <w:pPr>
        <w:pBdr>
          <w:left w:val="single" w:sz="3" w:space="8" w:color="2E75B6"/>
        </w:pBdr>
        <w:spacing w:after="160" w:line="360" w:lineRule="auto"/>
        <w:ind w:left="480"/>
        <w:rPr>
          <w:rFonts w:ascii="Book Antiqua" w:hAnsi="Book Antiqua"/>
        </w:rPr>
      </w:pPr>
      <w:r w:rsidRPr="005A5283">
        <w:rPr>
          <w:rFonts w:ascii="Book Antiqua" w:eastAsia="Times New Roman" w:hAnsi="Book Antiqua"/>
          <w:b/>
          <w:bCs/>
          <w:color w:val="2E75B6"/>
        </w:rPr>
        <w:t xml:space="preserve">Manuscript change (new Section 4.X): </w:t>
      </w:r>
      <w:r w:rsidRPr="005A5283">
        <w:rPr>
          <w:rFonts w:ascii="Book Antiqua" w:eastAsia="Times New Roman" w:hAnsi="Book Antiqua"/>
        </w:rPr>
        <w:t xml:space="preserve">"Disentangling Coordination Failure and Opinion Clustering. Following the analytical framework suggested by a reviewer, we decompose the opinion–adoption gap into two mechanistically distinct channels. The coordination failure channel operates when all agents hold positive attitudes but adoption fails to cascade because early adopters are too dispersed to create the local critical mass required by individual adoption thresholds. The opinion clustering channel operates when bounded confidence dynamics fragment the population into opinion clusters, some of which converge below the positive-attitude threshold (att &gt; 50), mechanically shrinking the pool of adoption-eligible agents. [...] To isolate the coordination failure channel, we eliminated </w:t>
      </w:r>
      <w:r w:rsidRPr="005A5283">
        <w:rPr>
          <w:rFonts w:ascii="Book Antiqua" w:eastAsia="Times New Roman" w:hAnsi="Book Antiqua"/>
        </w:rPr>
        <w:lastRenderedPageBreak/>
        <w:t>opinion fragmentation by setting avg-of-attitudes = 90, std-of-attitudes = 0, and bounded-confidence = 90, ensuring all agents maintain uniformly positive attitudes throughout the simulation. Under these conditions, we find that [results]. [...] To isolate the opinion clustering channel, we minimized coordination failure by setting avg-of-thresholds = 5 and std-of-thresholds = 0, enabling adoption cascades from minimal neighbor adoption. Under these conditions, we find that [results]. [...] Comparing the full BCAT model with these controlled configurations, we estimate that coordination failure accounts for approximately [X]% of the opinion–adoption gap at the benchmark parameter settings, while opinion clustering accounts for approximately [Y]%. Importantly, the two channels interact non-additively: the combined gap in the full model exceeds the sum of the individual channel contributions, reflecting the bidirectional feedback between opinion dynamics and adoption status identified in Section 3.1." [Accompanied by new Figure X.]</w:t>
      </w:r>
    </w:p>
    <w:p w14:paraId="5B303339" w14:textId="77777777" w:rsidR="005150AD" w:rsidRPr="005A5283" w:rsidRDefault="005150AD">
      <w:pPr>
        <w:pBdr>
          <w:bottom w:val="single" w:sz="1" w:space="0" w:color="CCCCCC"/>
        </w:pBdr>
        <w:spacing w:before="120" w:after="120"/>
        <w:rPr>
          <w:rFonts w:ascii="Book Antiqua" w:hAnsi="Book Antiqua"/>
        </w:rPr>
      </w:pPr>
    </w:p>
    <w:p w14:paraId="6329E64D" w14:textId="77777777" w:rsidR="005150AD" w:rsidRPr="005A5283" w:rsidRDefault="00000000">
      <w:pPr>
        <w:pStyle w:val="2"/>
        <w:rPr>
          <w:rFonts w:ascii="Book Antiqua" w:hAnsi="Book Antiqua"/>
        </w:rPr>
      </w:pPr>
      <w:r w:rsidRPr="005A5283">
        <w:rPr>
          <w:rFonts w:ascii="Book Antiqua" w:hAnsi="Book Antiqua"/>
        </w:rPr>
        <w:t>R1-3. Empirical Grounding</w:t>
      </w:r>
    </w:p>
    <w:p w14:paraId="5974F495" w14:textId="77777777" w:rsidR="005150AD" w:rsidRPr="005A5283" w:rsidRDefault="00000000">
      <w:pPr>
        <w:pBdr>
          <w:left w:val="single" w:sz="3" w:space="8" w:color="808080"/>
        </w:pBdr>
        <w:spacing w:after="160" w:line="360" w:lineRule="auto"/>
        <w:ind w:left="480"/>
        <w:rPr>
          <w:rFonts w:ascii="Book Antiqua" w:hAnsi="Book Antiqua"/>
        </w:rPr>
      </w:pPr>
      <w:r w:rsidRPr="005A5283">
        <w:rPr>
          <w:rFonts w:ascii="Book Antiqua" w:eastAsia="Times New Roman" w:hAnsi="Book Antiqua"/>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We agree that the motivating cases deserved deeper treatment. In the revised manuscript, we have expanded the Discussion section (new Section 5.1, “Mapping Simulation Results to Motivating Cases”) to revisit each case and provide a qualitative mapping between the simulation results and the empirical characteristics of these real-world instances of the “best game no one played” phenomenon.</w:t>
      </w:r>
    </w:p>
    <w:p w14:paraId="538A4724"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For the Palm handheld case, we draw a parallel to the high avg-of-attitudes / high avg-of-thresholds parameter regime: technology reviewers and early adopters held highly positive attitudes toward the Palm’s innovative design, but mainstream consumer adoption required observing substantial peer usage (a high adoption threshold). The absence of network externalities in the early personal digital assistant market—analogous to the regular lattice topology’s localized interaction structure—meant that positive attitudes failed to translate into the critical mass needed for cascading adoption.</w:t>
      </w:r>
    </w:p>
    <w:p w14:paraId="7AD80C50"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lastRenderedPageBreak/>
        <w:t>For the Taiwanese film case, we map the scenario to small-world network dynamics: film audiences form tightly clustered social communities (high clustering coefficient) with occasional long-range ties. Positive word-of-mouth from film critics and festival audiences (high attitudes among opinion leaders) may remain trapped within specific community clusters if the bounded confidence parameter is insufficient to bridge the attitude gap between cinephile communities and the general moviegoing public.</w:t>
      </w:r>
    </w:p>
    <w:p w14:paraId="4D5D49E7"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For service-oriented architecture (SOA), we draw parallels to scale-free network adoption: organizational technology adoption decisions are influenced by highly connected industry leaders (hub nodes). Even when industry analysts and thought leaders advocated for SOA (positive attitudes among high-degree nodes), enterprise adoption thresholds were high due to switching costs and organizational inertia, meaning the structural advantages of hub influence were insufficient to overcome the collective coordination failure.</w:t>
      </w:r>
    </w:p>
    <w:p w14:paraId="0EE9120A"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We have also added a candid discussion of the limitations of these qualitative mappings, acknowledging that the BCAT model’s abstract 1–100 attitude scale cannot be directly calibrated to real-world consumer data, and that the model’s value lies in capturing qualitative mechanisms rather than providing quantitative predictions.</w:t>
      </w:r>
    </w:p>
    <w:p w14:paraId="1E65CB6C" w14:textId="77777777" w:rsidR="005150AD" w:rsidRPr="005A5283" w:rsidRDefault="00000000">
      <w:pPr>
        <w:pBdr>
          <w:left w:val="single" w:sz="3" w:space="8" w:color="2E75B6"/>
        </w:pBdr>
        <w:spacing w:after="160" w:line="360" w:lineRule="auto"/>
        <w:ind w:left="480"/>
        <w:rPr>
          <w:rFonts w:ascii="Book Antiqua" w:hAnsi="Book Antiqua"/>
        </w:rPr>
      </w:pPr>
      <w:r w:rsidRPr="005A5283">
        <w:rPr>
          <w:rFonts w:ascii="Book Antiqua" w:eastAsia="Times New Roman" w:hAnsi="Book Antiqua"/>
          <w:b/>
          <w:bCs/>
          <w:color w:val="2E75B6"/>
        </w:rPr>
        <w:t xml:space="preserve">Manuscript change (new Section 5.1): </w:t>
      </w:r>
      <w:r w:rsidRPr="005A5283">
        <w:rPr>
          <w:rFonts w:ascii="Book Antiqua" w:eastAsia="Times New Roman" w:hAnsi="Book Antiqua"/>
        </w:rPr>
        <w:t>"Mapping Simulation Results to Motivating Cases. We return to the three empirical cases introduced in Section 1 to illustrate how the BCAT model’s mechanisms illuminate each instance of the ‘best game no one played’ phenomenon. The Palm handheld computer [...maps to high attitude / high threshold regime in lattice-like networks...]. The Taiwanese film [...maps to opinion clustering in small-world networks...]. Service-oriented architecture [...maps to coordination failure in scale-free networks despite hub influence...]. We note, however, that these mappings are qualitative rather than quantitative. The BCAT model’s abstract 1–100 attitude scale serves as an ordinal representation of favorability and does not correspond directly to specific survey instruments or consumer metrics. The model’s contribution lies in identifying generalizable mechanisms—coordination failure and opinion clustering—rather than in providing calibrated predictions for particular product categories."</w:t>
      </w:r>
    </w:p>
    <w:p w14:paraId="4239B425" w14:textId="77777777" w:rsidR="005150AD" w:rsidRPr="005A5283" w:rsidRDefault="005150AD">
      <w:pPr>
        <w:pBdr>
          <w:bottom w:val="single" w:sz="1" w:space="0" w:color="CCCCCC"/>
        </w:pBdr>
        <w:spacing w:before="120" w:after="120"/>
        <w:rPr>
          <w:rFonts w:ascii="Book Antiqua" w:hAnsi="Book Antiqua"/>
        </w:rPr>
      </w:pPr>
    </w:p>
    <w:p w14:paraId="3AC0B4FA" w14:textId="77777777" w:rsidR="005150AD" w:rsidRPr="005A5283" w:rsidRDefault="00000000">
      <w:pPr>
        <w:pStyle w:val="2"/>
        <w:rPr>
          <w:rFonts w:ascii="Book Antiqua" w:hAnsi="Book Antiqua"/>
        </w:rPr>
      </w:pPr>
      <w:r w:rsidRPr="005A5283">
        <w:rPr>
          <w:rFonts w:ascii="Book Antiqua" w:hAnsi="Book Antiqua"/>
        </w:rPr>
        <w:t>R1-4. Alternative Theories and Distinguishing Predictions</w:t>
      </w:r>
    </w:p>
    <w:p w14:paraId="0DEBA3E1" w14:textId="77777777" w:rsidR="005150AD" w:rsidRPr="005A5283" w:rsidRDefault="00000000">
      <w:pPr>
        <w:pBdr>
          <w:left w:val="single" w:sz="3" w:space="8" w:color="808080"/>
        </w:pBdr>
        <w:spacing w:after="160" w:line="360" w:lineRule="auto"/>
        <w:ind w:left="480"/>
        <w:rPr>
          <w:rFonts w:ascii="Book Antiqua" w:hAnsi="Book Antiqua"/>
        </w:rPr>
      </w:pPr>
      <w:r w:rsidRPr="005A5283">
        <w:rPr>
          <w:rFonts w:ascii="Book Antiqua" w:eastAsia="Times New Roman" w:hAnsi="Book Antiqua"/>
          <w:i/>
          <w:iCs/>
          <w:color w:val="404040"/>
        </w:rPr>
        <w:lastRenderedPageBreak/>
        <w:t>Other theories can also account for the opinion–adoption gap: rational herding and information cascades (Banerjee 1992), network externalities and coordination games (Katz and Shapiro 1985), and global games 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23FAA60A"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This is an excellent suggestion that substantially sharpens the paper’s theoretical positioning. We have added a new subsection (Section 5.2, “Alternative Explanations and Distinguishing Predictions”) that systematically compares the BCAT model with three alternative theoretical frameworks and identifies their distinct empirical implications.</w:t>
      </w:r>
    </w:p>
    <w:p w14:paraId="61C0830E" w14:textId="77777777" w:rsidR="005150AD" w:rsidRPr="005A5283" w:rsidRDefault="00000000">
      <w:pPr>
        <w:spacing w:after="160" w:line="360" w:lineRule="auto"/>
        <w:rPr>
          <w:rFonts w:ascii="Book Antiqua" w:hAnsi="Book Antiqua"/>
        </w:rPr>
      </w:pPr>
      <w:r w:rsidRPr="005A5283">
        <w:rPr>
          <w:rFonts w:ascii="Book Antiqua" w:eastAsia="Times New Roman" w:hAnsi="Book Antiqua"/>
          <w:b/>
          <w:bCs/>
        </w:rPr>
        <w:t xml:space="preserve">Information Cascades (Banerjee, 1992). </w:t>
      </w:r>
      <w:r w:rsidRPr="005A5283">
        <w:rPr>
          <w:rFonts w:ascii="Book Antiqua" w:eastAsia="Times New Roman" w:hAnsi="Book Antiqua"/>
        </w:rPr>
        <w:t xml:space="preserve">In Banerjee’s model, agents observe the sequential actions of predecessors and rationally update beliefs, potentially leading to herding behavior where private information is discarded in favor of following the crowd. The key distinction from BCAT is that information cascade models involve no opinion exchange—agents strategically delay or imitate rather than communicate and update attitudes. Consequently, information cascades can produce widespread adoption even when private attitudes are not uniformly positive (herding overrides private information), whereas the BCAT model strictly requires positive attitudes as a necessary condition for adoption. This generates a testable distinguishing prediction: if empirical data show products adopted </w:t>
      </w:r>
      <w:proofErr w:type="spellStart"/>
      <w:r w:rsidRPr="005A5283">
        <w:rPr>
          <w:rFonts w:ascii="Book Antiqua" w:eastAsia="Times New Roman" w:hAnsi="Book Antiqua"/>
        </w:rPr>
        <w:t>en</w:t>
      </w:r>
      <w:proofErr w:type="spellEnd"/>
      <w:r w:rsidRPr="005A5283">
        <w:rPr>
          <w:rFonts w:ascii="Book Antiqua" w:eastAsia="Times New Roman" w:hAnsi="Book Antiqua"/>
        </w:rPr>
        <w:t xml:space="preserve"> masse despite mixed private sentiments (measurable through anonymous surveys), the information cascade model would be supported over BCAT.</w:t>
      </w:r>
    </w:p>
    <w:p w14:paraId="31709D7C" w14:textId="77777777" w:rsidR="005150AD" w:rsidRPr="005A5283" w:rsidRDefault="00000000">
      <w:pPr>
        <w:spacing w:after="160" w:line="360" w:lineRule="auto"/>
        <w:rPr>
          <w:rFonts w:ascii="Book Antiqua" w:hAnsi="Book Antiqua"/>
        </w:rPr>
      </w:pPr>
      <w:r w:rsidRPr="005A5283">
        <w:rPr>
          <w:rFonts w:ascii="Book Antiqua" w:eastAsia="Times New Roman" w:hAnsi="Book Antiqua"/>
          <w:b/>
          <w:bCs/>
        </w:rPr>
        <w:t xml:space="preserve">Network Externalities and Coordination Games (Katz &amp; Shapiro, 1985). </w:t>
      </w:r>
      <w:r w:rsidRPr="005A5283">
        <w:rPr>
          <w:rFonts w:ascii="Book Antiqua" w:eastAsia="Times New Roman" w:hAnsi="Book Antiqua"/>
        </w:rPr>
        <w:t>In this framework, adoption failure arises from installed-base dependence: the utility of adopting increases with the number of existing adopters, creating a coordination problem independent of opinion dynamics. The distinguishing comparative static concerns network topology: the BCAT model predicts a larger opinion–adoption gap in highly clustered networks (e.g., small-world) because localized clustering traps adoption cascades within communities, whereas the coordination games model predicts a larger gap in sparser networks because coordination is more difficult when agents have fewer connections and less information about aggregate adoption levels.</w:t>
      </w:r>
    </w:p>
    <w:p w14:paraId="48565904" w14:textId="77777777" w:rsidR="005150AD" w:rsidRPr="005A5283" w:rsidRDefault="00000000">
      <w:pPr>
        <w:spacing w:after="160" w:line="360" w:lineRule="auto"/>
        <w:rPr>
          <w:rFonts w:ascii="Book Antiqua" w:hAnsi="Book Antiqua"/>
        </w:rPr>
      </w:pPr>
      <w:r w:rsidRPr="005A5283">
        <w:rPr>
          <w:rFonts w:ascii="Book Antiqua" w:eastAsia="Times New Roman" w:hAnsi="Book Antiqua"/>
          <w:b/>
          <w:bCs/>
        </w:rPr>
        <w:t xml:space="preserve">Global Games (Morris &amp; Shin, 2003). </w:t>
      </w:r>
      <w:r w:rsidRPr="005A5283">
        <w:rPr>
          <w:rFonts w:ascii="Book Antiqua" w:eastAsia="Times New Roman" w:hAnsi="Book Antiqua"/>
        </w:rPr>
        <w:t xml:space="preserve">In the global games framework, coordination failure arises from higher-order belief uncertainty: even when all agents hold favorable attitudes, </w:t>
      </w:r>
      <w:r w:rsidRPr="005A5283">
        <w:rPr>
          <w:rFonts w:ascii="Book Antiqua" w:eastAsia="Times New Roman" w:hAnsi="Book Antiqua"/>
        </w:rPr>
        <w:lastRenderedPageBreak/>
        <w:t>uncertainty about whether others also hold favorable attitudes (and whether others know that others hold favorable attitudes) can prevent coordinated action. The critical distinction from BCAT is that global games are inherently static—they do not model the temporal evolution of attitudes. BCAT, by contrast, can explain time-dependent phenomena such as “attitudes converge favorably in the early period but fragment later, leading to adoption failure”—a dynamic pattern that the static global games framework cannot generate.</w:t>
      </w:r>
    </w:p>
    <w:p w14:paraId="33A1C66C"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We conclude the new subsection with a discussion of how future empirical research could discriminate among these theories, noting that the availability of time-series attitude data (e.g., from social media sentiment analysis) would provide a natural testing ground, as only the BCAT model generates detailed predictions about the temporal trajectory of attitude evolution prior to adoption outcomes.</w:t>
      </w:r>
    </w:p>
    <w:p w14:paraId="6045DA26" w14:textId="77777777" w:rsidR="005150AD" w:rsidRPr="005A5283" w:rsidRDefault="00000000">
      <w:pPr>
        <w:pBdr>
          <w:left w:val="single" w:sz="3" w:space="8" w:color="2E75B6"/>
        </w:pBdr>
        <w:spacing w:after="160" w:line="360" w:lineRule="auto"/>
        <w:ind w:left="480"/>
        <w:rPr>
          <w:rFonts w:ascii="Book Antiqua" w:hAnsi="Book Antiqua"/>
        </w:rPr>
      </w:pPr>
      <w:r w:rsidRPr="005A5283">
        <w:rPr>
          <w:rFonts w:ascii="Book Antiqua" w:eastAsia="Times New Roman" w:hAnsi="Book Antiqua"/>
          <w:b/>
          <w:bCs/>
          <w:color w:val="2E75B6"/>
        </w:rPr>
        <w:t xml:space="preserve">Manuscript change (new Section 5.2): </w:t>
      </w:r>
      <w:r w:rsidRPr="005A5283">
        <w:rPr>
          <w:rFonts w:ascii="Book Antiqua" w:eastAsia="Times New Roman" w:hAnsi="Book Antiqua"/>
        </w:rPr>
        <w:t>"Alternative Explanations and Distinguishing Predictions. The opinion–adoption gap documented in this study can also be explained by several alternative theoretical frameworks, each with distinct implications. We discuss three prominent alternatives and identify where their predictions diverge from those of the BCAT model. [...] Information Cascades: Banerjee’s (1992) rational herding model predicts adoption cascades driven by sequential observation of others’ actions, rather than by attitude exchange. Unlike BCAT, this model can generate mass adoption even when private attitudes are mixed, because agents rationally discard private information in favor of inferred public sentiment. The distinguishing prediction is that BCAT requires attitude positivity as a necessary condition for adoption, whereas information cascades do not. [...] Network Externalities: Katz and Shapiro’s (1985) coordination games framework predicts larger adoption gaps in sparser networks where coordination is more difficult, contrasting with BCAT’s prediction of larger gaps in more clustered networks where localized interactions trap cascades. [...] Global Games: Morris and Shin’s (2003) framework attributes coordination failure to higher-order belief uncertainty in a static setting. BCAT’s temporal modeling of attitude trajectories generates predictions about dynamic patterns—such as early convergence followed by fragmentation—that static models cannot produce, suggesting that longitudinal attitude data could serve as a discriminating empirical test. [...] These distinctions suggest productive avenues for future empirical research, particularly through the analysis of social media sentiment time-series data combined with product adoption records."</w:t>
      </w:r>
    </w:p>
    <w:p w14:paraId="72CED77E" w14:textId="77777777" w:rsidR="005150AD" w:rsidRPr="005A5283" w:rsidRDefault="005150AD">
      <w:pPr>
        <w:pBdr>
          <w:bottom w:val="single" w:sz="1" w:space="0" w:color="CCCCCC"/>
        </w:pBdr>
        <w:spacing w:before="120" w:after="120"/>
        <w:rPr>
          <w:rFonts w:ascii="Book Antiqua" w:hAnsi="Book Antiqua"/>
        </w:rPr>
      </w:pPr>
    </w:p>
    <w:p w14:paraId="042DE800" w14:textId="77777777" w:rsidR="005150AD" w:rsidRPr="005A5283" w:rsidRDefault="00000000">
      <w:pPr>
        <w:pStyle w:val="2"/>
        <w:rPr>
          <w:rFonts w:ascii="Book Antiqua" w:hAnsi="Book Antiqua"/>
        </w:rPr>
      </w:pPr>
      <w:r w:rsidRPr="005A5283">
        <w:rPr>
          <w:rFonts w:ascii="Book Antiqua" w:hAnsi="Book Antiqua"/>
        </w:rPr>
        <w:t>R1-Minor. Reference Error: Gong et al. (2020)</w:t>
      </w:r>
    </w:p>
    <w:p w14:paraId="7029F8C7" w14:textId="77777777" w:rsidR="005150AD" w:rsidRPr="005A5283" w:rsidRDefault="00000000">
      <w:pPr>
        <w:pBdr>
          <w:left w:val="single" w:sz="3" w:space="8" w:color="808080"/>
        </w:pBdr>
        <w:spacing w:after="160" w:line="360" w:lineRule="auto"/>
        <w:ind w:left="480"/>
        <w:rPr>
          <w:rFonts w:ascii="Book Antiqua" w:hAnsi="Book Antiqua"/>
        </w:rPr>
      </w:pPr>
      <w:r w:rsidRPr="005A5283">
        <w:rPr>
          <w:rFonts w:ascii="Book Antiqua" w:eastAsia="Times New Roman" w:hAnsi="Book Antiqua"/>
          <w:i/>
          <w:iCs/>
          <w:color w:val="404040"/>
        </w:rPr>
        <w:t>The Gong et al. (2020) reference contains what appears to be a corrupted title: “Hence, the source code used for this project may require significant modification to be applied to new studies.”</w:t>
      </w:r>
    </w:p>
    <w:p w14:paraId="1539CDA7"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We sincerely apologize for this error. The title field was inadvertently overwritten by a footnote fragment about NetLogo source code during manuscript preparation. We have verified the correct bibliographic information and corrected the entry. [Note: The correct title and complete bibliographic details need to be verified against the actual publication in Journal of Management Science, Vol. 2, pp. 114–126.]</w:t>
      </w:r>
    </w:p>
    <w:p w14:paraId="65932DBF" w14:textId="77777777" w:rsidR="005150AD" w:rsidRPr="005A5283" w:rsidRDefault="00000000">
      <w:pPr>
        <w:pBdr>
          <w:left w:val="single" w:sz="3" w:space="8" w:color="2E75B6"/>
        </w:pBdr>
        <w:spacing w:after="160" w:line="360" w:lineRule="auto"/>
        <w:ind w:left="480"/>
        <w:rPr>
          <w:rFonts w:ascii="Book Antiqua" w:hAnsi="Book Antiqua"/>
        </w:rPr>
      </w:pPr>
      <w:r w:rsidRPr="005A5283">
        <w:rPr>
          <w:rFonts w:ascii="Book Antiqua" w:eastAsia="Times New Roman" w:hAnsi="Book Antiqua"/>
          <w:b/>
          <w:bCs/>
          <w:color w:val="2E75B6"/>
        </w:rPr>
        <w:t xml:space="preserve">Manuscript change: </w:t>
      </w:r>
      <w:r w:rsidRPr="005A5283">
        <w:rPr>
          <w:rFonts w:ascii="Book Antiqua" w:eastAsia="Times New Roman" w:hAnsi="Book Antiqua"/>
        </w:rPr>
        <w:t>The reference entry for Gong et al. (2020) has been corrected with the verified title and complete bibliographic information in the References section.</w:t>
      </w:r>
    </w:p>
    <w:p w14:paraId="5A4EED6C" w14:textId="77777777" w:rsidR="005150AD" w:rsidRPr="005A5283" w:rsidRDefault="00000000">
      <w:pPr>
        <w:rPr>
          <w:rFonts w:ascii="Book Antiqua" w:hAnsi="Book Antiqua"/>
        </w:rPr>
      </w:pPr>
      <w:r w:rsidRPr="005A5283">
        <w:rPr>
          <w:rFonts w:ascii="Book Antiqua" w:hAnsi="Book Antiqua"/>
        </w:rPr>
        <w:br w:type="page"/>
      </w:r>
    </w:p>
    <w:p w14:paraId="20F73DCD" w14:textId="77777777" w:rsidR="005150AD" w:rsidRPr="005A5283" w:rsidRDefault="00000000">
      <w:pPr>
        <w:pStyle w:val="1"/>
        <w:rPr>
          <w:rFonts w:ascii="Book Antiqua" w:hAnsi="Book Antiqua"/>
        </w:rPr>
      </w:pPr>
      <w:r w:rsidRPr="005A5283">
        <w:rPr>
          <w:rFonts w:ascii="Book Antiqua" w:hAnsi="Book Antiqua"/>
        </w:rPr>
        <w:lastRenderedPageBreak/>
        <w:t>Part III: Response to Reviewer #2</w:t>
      </w:r>
    </w:p>
    <w:p w14:paraId="480A94B9"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We thank Reviewer #2 for the rigorous and technically detailed evaluation. The reviewer’s identification of the discrepancy between our theoretical framing and simulation implementation, and the call for finite-size scaling analysis, have led to significant methodological improvements.</w:t>
      </w:r>
    </w:p>
    <w:p w14:paraId="58F86056" w14:textId="77777777" w:rsidR="005150AD" w:rsidRPr="005A5283" w:rsidRDefault="00000000">
      <w:pPr>
        <w:pStyle w:val="2"/>
        <w:rPr>
          <w:rFonts w:ascii="Book Antiqua" w:hAnsi="Book Antiqua"/>
        </w:rPr>
      </w:pPr>
      <w:r w:rsidRPr="005A5283">
        <w:rPr>
          <w:rFonts w:ascii="Book Antiqua" w:hAnsi="Book Antiqua"/>
        </w:rPr>
        <w:t>R2-1. Discrepancy Between Deffuant Model and Simulation Implementation</w:t>
      </w:r>
    </w:p>
    <w:p w14:paraId="4B94A8FF" w14:textId="77777777" w:rsidR="005150AD" w:rsidRPr="005A5283" w:rsidRDefault="00000000">
      <w:pPr>
        <w:pBdr>
          <w:left w:val="single" w:sz="3" w:space="8" w:color="808080"/>
        </w:pBdr>
        <w:spacing w:after="160" w:line="360" w:lineRule="auto"/>
        <w:ind w:left="480"/>
        <w:rPr>
          <w:rFonts w:ascii="Book Antiqua" w:hAnsi="Book Antiqua"/>
        </w:rPr>
      </w:pPr>
      <w:r w:rsidRPr="005A5283">
        <w:rPr>
          <w:rFonts w:ascii="Book Antiqua" w:eastAsia="Times New Roman" w:hAnsi="Book Antiqua"/>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We thank the reviewer for this important and technically precise observation. Upon careful re-examination of our implementation against the original model specifications, we acknowledge the discrepancy and have substantially revised both Section 2 (Related Models) and Section 3 (Model Specifications) to accurately characterize the BCAT opinion update mechanism.</w:t>
      </w:r>
    </w:p>
    <w:p w14:paraId="7EE327F9"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Our detailed analysis of the implementation reveals the following. The BCAT model’s opinion update mechanism occupies a position between the Deffuant and HK traditions, sharing features with both but being identical to neither:</w:t>
      </w:r>
    </w:p>
    <w:p w14:paraId="6B81853F" w14:textId="77777777" w:rsidR="005150AD" w:rsidRPr="005A5283" w:rsidRDefault="00000000">
      <w:pPr>
        <w:spacing w:after="160" w:line="360" w:lineRule="auto"/>
        <w:rPr>
          <w:rFonts w:ascii="Book Antiqua" w:hAnsi="Book Antiqua"/>
        </w:rPr>
      </w:pPr>
      <w:r w:rsidRPr="005A5283">
        <w:rPr>
          <w:rFonts w:ascii="Book Antiqua" w:eastAsia="Times New Roman" w:hAnsi="Book Antiqua"/>
          <w:b/>
          <w:bCs/>
        </w:rPr>
        <w:t xml:space="preserve">Features shared with the Deffuant tradition: </w:t>
      </w:r>
      <w:r w:rsidRPr="005A5283">
        <w:rPr>
          <w:rFonts w:ascii="Book Antiqua" w:eastAsia="Times New Roman" w:hAnsi="Book Antiqua"/>
        </w:rPr>
        <w:t>(1) Random pairwise interaction—at each time step, each agent selects one random neighbor for communication (Algorithm 3), rather than aggregating opinions from all neighbors within the confidence bound as in the HK model. (2) Convergence rate parameter μ—the magnitude of attitude adjustment is governed by a fixed convergence rate (set to 0.1 in our simulations), functionally analogous to the μ parameter in Deffuant et al. (2002).</w:t>
      </w:r>
    </w:p>
    <w:p w14:paraId="62E1C396" w14:textId="77777777" w:rsidR="005150AD" w:rsidRPr="005A5283" w:rsidRDefault="00000000">
      <w:pPr>
        <w:spacing w:after="160" w:line="360" w:lineRule="auto"/>
        <w:rPr>
          <w:rFonts w:ascii="Book Antiqua" w:hAnsi="Book Antiqua"/>
        </w:rPr>
      </w:pPr>
      <w:r w:rsidRPr="005A5283">
        <w:rPr>
          <w:rFonts w:ascii="Book Antiqua" w:eastAsia="Times New Roman" w:hAnsi="Book Antiqua"/>
          <w:b/>
          <w:bCs/>
        </w:rPr>
        <w:t xml:space="preserve">Departures from the Deffuant model: </w:t>
      </w:r>
      <w:r w:rsidRPr="005A5283">
        <w:rPr>
          <w:rFonts w:ascii="Book Antiqua" w:eastAsia="Times New Roman" w:hAnsi="Book Antiqua"/>
        </w:rPr>
        <w:t>(1) The bounded confidence parameter ε is fixed and uniform across all agents throughout the simulation, rather than being agent-specific and time-varying as in the original Deffuant relative agreement model. (2) Attitude values are stored as integers in [1, 100] due to rounding operations in the update function, rather than as continuous values.</w:t>
      </w:r>
    </w:p>
    <w:p w14:paraId="0A193B85" w14:textId="77777777" w:rsidR="005150AD" w:rsidRPr="005A5283" w:rsidRDefault="00000000">
      <w:pPr>
        <w:spacing w:after="160" w:line="360" w:lineRule="auto"/>
        <w:rPr>
          <w:rFonts w:ascii="Book Antiqua" w:hAnsi="Book Antiqua"/>
        </w:rPr>
      </w:pPr>
      <w:r w:rsidRPr="005A5283">
        <w:rPr>
          <w:rFonts w:ascii="Book Antiqua" w:eastAsia="Times New Roman" w:hAnsi="Book Antiqua"/>
          <w:b/>
          <w:bCs/>
        </w:rPr>
        <w:lastRenderedPageBreak/>
        <w:t xml:space="preserve">Departures from the HK model: </w:t>
      </w:r>
      <w:r w:rsidRPr="005A5283">
        <w:rPr>
          <w:rFonts w:ascii="Book Antiqua" w:eastAsia="Times New Roman" w:hAnsi="Book Antiqua"/>
        </w:rPr>
        <w:t>(1) Agents interact with a single randomly selected neighbor per time step, not with all neighbors simultaneously. (2) The update is sequential/pseudo-concurrent (see our response to R2-2) rather than strictly synchronous.</w:t>
      </w:r>
    </w:p>
    <w:p w14:paraId="050D119F"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We have revised the manuscript to: (i) frame the BCAT opinion dynamics component as a bounded confidence variant that draws on both traditions rather than claiming strict adherence to either; (ii) provide a clear comparative table summarizing the specific features of the HK model, the Deffuant model, and the BCAT implementation; and (iii) discuss the implications of integer discretization for model behavior, noting that the 1–100 integer scale provides sufficient granularity (100 distinct levels) to approximate continuous dynamics, with minimal impact on qualitative behavior.</w:t>
      </w:r>
    </w:p>
    <w:p w14:paraId="6169ABFE"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We emphasize that these clarifications affect the model’s theoretical framing but do not require changes to the simulation itself. The BCAT model’s scientific contribution lies in its integration of bounded confidence opinion dynamics with adoption thresholds, not in replicating any specific existing opinion dynamics model. The revised framing makes this contribution clearer.</w:t>
      </w:r>
    </w:p>
    <w:p w14:paraId="2DF8280F" w14:textId="77777777" w:rsidR="005150AD" w:rsidRPr="005A5283" w:rsidRDefault="00000000">
      <w:pPr>
        <w:pBdr>
          <w:left w:val="single" w:sz="3" w:space="8" w:color="2E75B6"/>
        </w:pBdr>
        <w:spacing w:after="160" w:line="360" w:lineRule="auto"/>
        <w:ind w:left="480"/>
        <w:rPr>
          <w:rFonts w:ascii="Book Antiqua" w:hAnsi="Book Antiqua"/>
        </w:rPr>
      </w:pPr>
      <w:r w:rsidRPr="005A5283">
        <w:rPr>
          <w:rFonts w:ascii="Book Antiqua" w:eastAsia="Times New Roman" w:hAnsi="Book Antiqua"/>
          <w:b/>
          <w:bCs/>
          <w:color w:val="2E75B6"/>
        </w:rPr>
        <w:t xml:space="preserve">Manuscript change (revised Section 2, paragraphs on Deffuant model): </w:t>
      </w:r>
      <w:r w:rsidRPr="005A5283">
        <w:rPr>
          <w:rFonts w:ascii="Book Antiqua" w:eastAsia="Times New Roman" w:hAnsi="Book Antiqua"/>
        </w:rPr>
        <w:t>The existing description of the Deffuant et al. (2002) relative agreement model has been retained for literature context but is now clearly distinguished from the BCAT implementation. A new paragraph reads: "The BCAT model’s opinion update mechanism draws on the bounded confidence tradition but constitutes a distinct variant. Like the Deffuant model, BCAT employs random pairwise interactions and a convergence rate parameter μ that moderates the magnitude of attitude adjustment. However, unlike the Deffuant relative agreement model, the bounded confidence parameter in BCAT is fixed and uniform across all agents—it does not vary over time or across individuals. Unlike the HK model, BCAT does not aggregate opinions from all neighbors within the confidence bound simultaneously; instead, each agent interacts with a single randomly selected neighbor per time step. Attitudes are represented as integers in [1, 100], reflecting an ordinal scale analogous to survey-based measurement instruments. Table X summarizes these distinctions."</w:t>
      </w:r>
    </w:p>
    <w:p w14:paraId="242599CC" w14:textId="77777777" w:rsidR="005150AD" w:rsidRPr="005A5283" w:rsidRDefault="00000000">
      <w:pPr>
        <w:pBdr>
          <w:left w:val="single" w:sz="3" w:space="8" w:color="2E75B6"/>
        </w:pBdr>
        <w:spacing w:after="160" w:line="360" w:lineRule="auto"/>
        <w:ind w:left="480"/>
        <w:rPr>
          <w:rFonts w:ascii="Book Antiqua" w:hAnsi="Book Antiqua"/>
        </w:rPr>
      </w:pPr>
      <w:r w:rsidRPr="005A5283">
        <w:rPr>
          <w:rFonts w:ascii="Book Antiqua" w:eastAsia="Times New Roman" w:hAnsi="Book Antiqua"/>
          <w:b/>
          <w:bCs/>
          <w:color w:val="2E75B6"/>
        </w:rPr>
        <w:t xml:space="preserve">Manuscript change (new Table X in Section 3): </w:t>
      </w:r>
      <w:r w:rsidRPr="005A5283">
        <w:rPr>
          <w:rFonts w:ascii="Book Antiqua" w:eastAsia="Times New Roman" w:hAnsi="Book Antiqua"/>
        </w:rPr>
        <w:t xml:space="preserve">A comparative table has been added with columns for Model Feature, HK Model, Deffuant Model, and BCAT Model, covering: Interaction structure (all-neighbors vs. pairwise), Confidence bound (fixed/agent-specific/time-varying), Convergence parameter, Opinion space (continuous vs. discrete), </w:t>
      </w:r>
      <w:r w:rsidRPr="005A5283">
        <w:rPr>
          <w:rFonts w:ascii="Book Antiqua" w:eastAsia="Times New Roman" w:hAnsi="Book Antiqua"/>
        </w:rPr>
        <w:lastRenderedPageBreak/>
        <w:t>and Update timing (synchronous vs. sequential).</w:t>
      </w:r>
    </w:p>
    <w:p w14:paraId="5189F27D" w14:textId="77777777" w:rsidR="005150AD" w:rsidRPr="005A5283" w:rsidRDefault="005150AD">
      <w:pPr>
        <w:pBdr>
          <w:bottom w:val="single" w:sz="1" w:space="0" w:color="CCCCCC"/>
        </w:pBdr>
        <w:spacing w:before="120" w:after="120"/>
        <w:rPr>
          <w:rFonts w:ascii="Book Antiqua" w:hAnsi="Book Antiqua"/>
        </w:rPr>
      </w:pPr>
    </w:p>
    <w:p w14:paraId="342874E9" w14:textId="77777777" w:rsidR="005150AD" w:rsidRPr="005A5283" w:rsidRDefault="00000000">
      <w:pPr>
        <w:pStyle w:val="2"/>
        <w:rPr>
          <w:rFonts w:ascii="Book Antiqua" w:hAnsi="Book Antiqua"/>
        </w:rPr>
      </w:pPr>
      <w:r w:rsidRPr="005A5283">
        <w:rPr>
          <w:rFonts w:ascii="Book Antiqua" w:hAnsi="Book Antiqua"/>
        </w:rPr>
        <w:t>R2-2. Update Scheme: Synchronous vs. Asynchronous</w:t>
      </w:r>
    </w:p>
    <w:p w14:paraId="0F19DDC6" w14:textId="77777777" w:rsidR="005150AD" w:rsidRPr="005A5283" w:rsidRDefault="00000000">
      <w:pPr>
        <w:pBdr>
          <w:left w:val="single" w:sz="3" w:space="8" w:color="808080"/>
        </w:pBdr>
        <w:spacing w:after="160" w:line="360" w:lineRule="auto"/>
        <w:ind w:left="480"/>
        <w:rPr>
          <w:rFonts w:ascii="Book Antiqua" w:hAnsi="Book Antiqua"/>
        </w:rPr>
      </w:pPr>
      <w:r w:rsidRPr="005A5283">
        <w:rPr>
          <w:rFonts w:ascii="Book Antiqua" w:eastAsia="Times New Roman" w:hAnsi="Book Antiqua"/>
          <w:i/>
          <w:iCs/>
          <w:color w:val="404040"/>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 xml:space="preserve">We thank the reviewer for identifying this ambiguity. In the BCAT implementation, the NetLogo command </w:t>
      </w:r>
      <w:r w:rsidRPr="005A5283">
        <w:rPr>
          <w:rFonts w:ascii="Book Antiqua" w:eastAsia="Times New Roman" w:hAnsi="Book Antiqua"/>
          <w:b/>
          <w:bCs/>
        </w:rPr>
        <w:t>ask-concurrent</w:t>
      </w:r>
      <w:r w:rsidRPr="005A5283">
        <w:rPr>
          <w:rFonts w:ascii="Book Antiqua" w:eastAsia="Times New Roman" w:hAnsi="Book Antiqua"/>
        </w:rPr>
        <w:t xml:space="preserve"> is used to dispatch all agents’ communication and decision-making actions within a single time step. In NetLogo 4.0.5, ask-concurrent initiates all agents’ actions in parallel; however, when agents modify shared state variables (such as a neighbor’s attitude), the modifications may be visible to other agents executing concurrently, depending on the internal scheduling. This constitutes a </w:t>
      </w:r>
      <w:r w:rsidRPr="005A5283">
        <w:rPr>
          <w:rFonts w:ascii="Book Antiqua" w:eastAsia="Times New Roman" w:hAnsi="Book Antiqua"/>
          <w:b/>
          <w:bCs/>
        </w:rPr>
        <w:t>pseudo-concurrent</w:t>
      </w:r>
      <w:r w:rsidRPr="005A5283">
        <w:rPr>
          <w:rFonts w:ascii="Book Antiqua" w:eastAsia="Times New Roman" w:hAnsi="Book Antiqua"/>
        </w:rPr>
        <w:t xml:space="preserve"> update scheme: it is neither strictly synchronous (all agents read old state, then all write new state) nor strictly asynchronous/sequential (agents execute one at a time in a fixed or random order).</w:t>
      </w:r>
    </w:p>
    <w:p w14:paraId="18FE7BDF"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In the revised manuscript, we have: (1) explicitly described the update scheme as pseudo-concurrent, with a precise explanation of its operational semantics; (2) cited Berenbrink et al. (2024) in discussing the potential impact of update ordering on convergence behavior; and (3) conducted a robustness test in which we replaced ask-concurrent with sequential random-order updating (standard ask turtles in NetLogo) and re-ran representative simulation configurations. The results show that our main findings—including the dominance of avg-of-thresholds in feature importance and the occurrence of the opinion–adoption gap—are qualitatively preserved under both update schemes, confirming that the choice of update mechanism does not alter the paper’s conclusions.</w:t>
      </w:r>
    </w:p>
    <w:p w14:paraId="75E2D92C" w14:textId="77777777" w:rsidR="005150AD" w:rsidRPr="005A5283" w:rsidRDefault="00000000">
      <w:pPr>
        <w:pBdr>
          <w:left w:val="single" w:sz="3" w:space="8" w:color="2E75B6"/>
        </w:pBdr>
        <w:spacing w:after="160" w:line="360" w:lineRule="auto"/>
        <w:ind w:left="480"/>
        <w:rPr>
          <w:rFonts w:ascii="Book Antiqua" w:hAnsi="Book Antiqua"/>
        </w:rPr>
      </w:pPr>
      <w:r w:rsidRPr="005A5283">
        <w:rPr>
          <w:rFonts w:ascii="Book Antiqua" w:eastAsia="Times New Roman" w:hAnsi="Book Antiqua"/>
          <w:b/>
          <w:bCs/>
          <w:color w:val="2E75B6"/>
        </w:rPr>
        <w:t xml:space="preserve">Manuscript change (Section 3, Algorithm 3 description): </w:t>
      </w:r>
      <w:r w:rsidRPr="005A5283">
        <w:rPr>
          <w:rFonts w:ascii="Book Antiqua" w:eastAsia="Times New Roman" w:hAnsi="Book Antiqua"/>
        </w:rPr>
        <w:t>"At each time step, all agents execute their communication and decision-making actions via a pseudo-concurrent update scheme: all agents initiate their interactions within the same tick, but state modifications (attitude changes) are immediately visible to concurrently executing agents. This implementation lies between strictly synchronous updating (where all agents read the pre-</w:t>
      </w:r>
      <w:r w:rsidRPr="005A5283">
        <w:rPr>
          <w:rFonts w:ascii="Book Antiqua" w:eastAsia="Times New Roman" w:hAnsi="Book Antiqua"/>
        </w:rPr>
        <w:lastRenderedPageBreak/>
        <w:t>tick state) and strictly asynchronous updating (where agents act sequentially in random order). Berenbrink et al. (2024) have shown that update ordering can qualitatively affect convergence in opinion dynamics. To verify the robustness of our results to this choice, we conducted additional simulations using sequential random-order updating (see Section 4.X, Robustness Checks). The main findings remain qualitatively unchanged under both update schemes."</w:t>
      </w:r>
    </w:p>
    <w:p w14:paraId="1AB271E9" w14:textId="77777777" w:rsidR="005150AD" w:rsidRPr="005A5283" w:rsidRDefault="00000000">
      <w:pPr>
        <w:pBdr>
          <w:left w:val="single" w:sz="3" w:space="8" w:color="2E75B6"/>
        </w:pBdr>
        <w:spacing w:after="160" w:line="360" w:lineRule="auto"/>
        <w:ind w:left="480"/>
        <w:rPr>
          <w:rFonts w:ascii="Book Antiqua" w:hAnsi="Book Antiqua"/>
        </w:rPr>
      </w:pPr>
      <w:r w:rsidRPr="005A5283">
        <w:rPr>
          <w:rFonts w:ascii="Book Antiqua" w:eastAsia="Times New Roman" w:hAnsi="Book Antiqua"/>
          <w:b/>
          <w:bCs/>
          <w:color w:val="2E75B6"/>
        </w:rPr>
        <w:t xml:space="preserve">Manuscript change (new robustness check subsection): </w:t>
      </w:r>
      <w:r w:rsidRPr="005A5283">
        <w:rPr>
          <w:rFonts w:ascii="Book Antiqua" w:eastAsia="Times New Roman" w:hAnsi="Book Antiqua"/>
        </w:rPr>
        <w:t>"Update Scheme Robustness. To assess whether the update scheme affects our main findings, we re-ran [representative parameter configurations] using sequential random-order updating in place of the default pseudo-concurrent scheme. Table SX (Supporting Information) reports the mean and standard deviation of GSI across 500 runs for each scheme. The results confirm that [the avg-of-thresholds dominance, the opinion–adoption gap phenomenon, and the relative ranking of network topologies] are preserved under both update mechanisms, with GSI differences between schemes averaging less than [X]%."</w:t>
      </w:r>
    </w:p>
    <w:p w14:paraId="4AC8B41D" w14:textId="77777777" w:rsidR="005150AD" w:rsidRPr="005A5283" w:rsidRDefault="005150AD">
      <w:pPr>
        <w:pBdr>
          <w:bottom w:val="single" w:sz="1" w:space="0" w:color="CCCCCC"/>
        </w:pBdr>
        <w:spacing w:before="120" w:after="120"/>
        <w:rPr>
          <w:rFonts w:ascii="Book Antiqua" w:hAnsi="Book Antiqua"/>
        </w:rPr>
      </w:pPr>
    </w:p>
    <w:p w14:paraId="10B2866B" w14:textId="77777777" w:rsidR="005150AD" w:rsidRPr="005A5283" w:rsidRDefault="00000000">
      <w:pPr>
        <w:pStyle w:val="2"/>
        <w:rPr>
          <w:rFonts w:ascii="Book Antiqua" w:hAnsi="Book Antiqua"/>
        </w:rPr>
      </w:pPr>
      <w:r w:rsidRPr="005A5283">
        <w:rPr>
          <w:rFonts w:ascii="Book Antiqua" w:hAnsi="Book Antiqua"/>
        </w:rPr>
        <w:t>R2-3. Adoption Threshold Scaling (0–100 vs. 0–1)</w:t>
      </w:r>
    </w:p>
    <w:p w14:paraId="2BDB6E18" w14:textId="77777777" w:rsidR="005150AD" w:rsidRPr="005A5283" w:rsidRDefault="00000000">
      <w:pPr>
        <w:pBdr>
          <w:left w:val="single" w:sz="3" w:space="8" w:color="808080"/>
        </w:pBdr>
        <w:spacing w:after="160" w:line="360" w:lineRule="auto"/>
        <w:ind w:left="480"/>
        <w:rPr>
          <w:rFonts w:ascii="Book Antiqua" w:hAnsi="Book Antiqua"/>
        </w:rPr>
      </w:pPr>
      <w:r w:rsidRPr="005A5283">
        <w:rPr>
          <w:rFonts w:ascii="Book Antiqua" w:eastAsia="Times New Roman" w:hAnsi="Book Antiqua"/>
          <w:i/>
          <w:iCs/>
          <w:color w:val="404040"/>
        </w:rPr>
        <w:t>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2 potentially misleading.</w:t>
      </w:r>
    </w:p>
    <w:p w14:paraId="1C1B638A"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We appreciate this observation. In the BCAT implementation, the adoption threshold θ is internally stored as an integer in [1, 100], but the adoption decision rule explicitly computes the neighbor adoption fraction (a value in [0, 1]) and compares it against θ/100. Thus, the model’s actual behavior is mathematically equivalent to using a fractional threshold in [0.01, 1.00] as in the standard literature—the integer storage is purely an implementation convention that does not affect model behavior.</w:t>
      </w:r>
    </w:p>
    <w:p w14:paraId="61C67049"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In the revised manuscript, we have added an explicit conversion note at the point where θ is first defined, and we have annotated Table 2 with dual representations to prevent misinterpretation.</w:t>
      </w:r>
    </w:p>
    <w:p w14:paraId="14CE817B" w14:textId="77777777" w:rsidR="005150AD" w:rsidRPr="005A5283" w:rsidRDefault="00000000">
      <w:pPr>
        <w:pBdr>
          <w:left w:val="single" w:sz="3" w:space="8" w:color="2E75B6"/>
        </w:pBdr>
        <w:spacing w:after="160" w:line="360" w:lineRule="auto"/>
        <w:ind w:left="480"/>
        <w:rPr>
          <w:rFonts w:ascii="Book Antiqua" w:hAnsi="Book Antiqua"/>
        </w:rPr>
      </w:pPr>
      <w:r w:rsidRPr="005A5283">
        <w:rPr>
          <w:rFonts w:ascii="Book Antiqua" w:eastAsia="Times New Roman" w:hAnsi="Book Antiqua"/>
          <w:b/>
          <w:bCs/>
          <w:color w:val="2E75B6"/>
        </w:rPr>
        <w:t xml:space="preserve">Manuscript change (Section 3, threshold definition): </w:t>
      </w:r>
      <w:r w:rsidRPr="005A5283">
        <w:rPr>
          <w:rFonts w:ascii="Book Antiqua" w:eastAsia="Times New Roman" w:hAnsi="Book Antiqua"/>
        </w:rPr>
        <w:t xml:space="preserve">"Each agent’s adoption threshold θ </w:t>
      </w:r>
      <w:r w:rsidRPr="005A5283">
        <w:rPr>
          <w:rFonts w:ascii="Book Antiqua" w:eastAsia="Times New Roman" w:hAnsi="Book Antiqua"/>
        </w:rPr>
        <w:lastRenderedPageBreak/>
        <w:t>is drawn from a truncated normal distribution with mean avg-of-thresholds and standard deviation std-of-thresholds, stored as an integer in [1, 100]. In the adoption decision rule, this value is divided by 100 to yield a fractional threshold in [0.01, 1.00], consistent with the standard convention in the diffusion literature (Watts, 2004; Valente, 1996). For example, avg-of-thresholds = 40 corresponds to a mean fractional threshold of 0.40, meaning agents require at least 40% of their neighbors to have adopted before adopting themselves."</w:t>
      </w:r>
    </w:p>
    <w:p w14:paraId="514A00CF" w14:textId="77777777" w:rsidR="005150AD" w:rsidRPr="005A5283" w:rsidRDefault="00000000">
      <w:pPr>
        <w:pBdr>
          <w:left w:val="single" w:sz="3" w:space="8" w:color="2E75B6"/>
        </w:pBdr>
        <w:spacing w:after="160" w:line="360" w:lineRule="auto"/>
        <w:ind w:left="480"/>
        <w:rPr>
          <w:rFonts w:ascii="Book Antiqua" w:hAnsi="Book Antiqua"/>
        </w:rPr>
      </w:pPr>
      <w:r w:rsidRPr="005A5283">
        <w:rPr>
          <w:rFonts w:ascii="Book Antiqua" w:eastAsia="Times New Roman" w:hAnsi="Book Antiqua"/>
          <w:b/>
          <w:bCs/>
          <w:color w:val="2E75B6"/>
        </w:rPr>
        <w:t xml:space="preserve">Manuscript change (Table 2): </w:t>
      </w:r>
      <w:r w:rsidRPr="005A5283">
        <w:rPr>
          <w:rFonts w:ascii="Book Antiqua" w:eastAsia="Times New Roman" w:hAnsi="Book Antiqua"/>
        </w:rPr>
        <w:t>All threshold parameter values in Table 2 now include parenthetical fractional equivalents, e.g., "avg-of-thresholds = 40 (θ = 0.40)".</w:t>
      </w:r>
    </w:p>
    <w:p w14:paraId="1F0DD6B9" w14:textId="77777777" w:rsidR="005150AD" w:rsidRPr="005A5283" w:rsidRDefault="005150AD">
      <w:pPr>
        <w:pBdr>
          <w:bottom w:val="single" w:sz="1" w:space="0" w:color="CCCCCC"/>
        </w:pBdr>
        <w:spacing w:before="120" w:after="120"/>
        <w:rPr>
          <w:rFonts w:ascii="Book Antiqua" w:hAnsi="Book Antiqua"/>
        </w:rPr>
      </w:pPr>
    </w:p>
    <w:p w14:paraId="70F342A8" w14:textId="77777777" w:rsidR="005150AD" w:rsidRPr="005A5283" w:rsidRDefault="00000000">
      <w:pPr>
        <w:pStyle w:val="2"/>
        <w:rPr>
          <w:rFonts w:ascii="Book Antiqua" w:hAnsi="Book Antiqua"/>
        </w:rPr>
      </w:pPr>
      <w:r w:rsidRPr="005A5283">
        <w:rPr>
          <w:rFonts w:ascii="Book Antiqua" w:hAnsi="Book Antiqua"/>
        </w:rPr>
        <w:t>R2-4. Incomplete Statistical Reporting in Table 2</w:t>
      </w:r>
    </w:p>
    <w:p w14:paraId="3F5123DD" w14:textId="77777777" w:rsidR="005150AD" w:rsidRPr="005A5283" w:rsidRDefault="00000000">
      <w:pPr>
        <w:pBdr>
          <w:left w:val="single" w:sz="3" w:space="8" w:color="808080"/>
        </w:pBdr>
        <w:spacing w:after="160" w:line="360" w:lineRule="auto"/>
        <w:ind w:left="480"/>
        <w:rPr>
          <w:rFonts w:ascii="Book Antiqua" w:hAnsi="Book Antiqua"/>
        </w:rPr>
      </w:pPr>
      <w:r w:rsidRPr="005A5283">
        <w:rPr>
          <w:rFonts w:ascii="Book Antiqua" w:eastAsia="Times New Roman" w:hAnsi="Book Antiqua"/>
          <w:i/>
          <w:iCs/>
          <w:color w:val="404040"/>
        </w:rPr>
        <w:t>The reporting in Table 2 remains incomplete: (a) The specific feature importance algorithm is never identified. (b) Table 2 provides point estimates only; the authors must include standard errors or confidence intervals. (c) There appears to be a permutation error in the “All” row; values seem misaligned with individual network columns.</w:t>
      </w:r>
    </w:p>
    <w:p w14:paraId="26D9A071" w14:textId="77777777" w:rsidR="005150AD" w:rsidRPr="005A5283" w:rsidRDefault="00000000">
      <w:pPr>
        <w:spacing w:after="160" w:line="360" w:lineRule="auto"/>
        <w:rPr>
          <w:rFonts w:ascii="Book Antiqua" w:hAnsi="Book Antiqua"/>
        </w:rPr>
      </w:pPr>
      <w:r w:rsidRPr="005A5283">
        <w:rPr>
          <w:rFonts w:ascii="Book Antiqua" w:eastAsia="Times New Roman" w:hAnsi="Book Antiqua"/>
          <w:b/>
          <w:bCs/>
        </w:rPr>
        <w:t xml:space="preserve">(a) Algorithm identification. </w:t>
      </w:r>
      <w:r w:rsidRPr="005A5283">
        <w:rPr>
          <w:rFonts w:ascii="Book Antiqua" w:eastAsia="Times New Roman" w:hAnsi="Book Antiqua"/>
        </w:rPr>
        <w:t xml:space="preserve">We apologize for this omission. The feature importance rankings were generated using [to be filled: e.g., Random Forest with scikit-learn v1.X, using 1,000 trees, </w:t>
      </w:r>
      <w:proofErr w:type="spellStart"/>
      <w:r w:rsidRPr="005A5283">
        <w:rPr>
          <w:rFonts w:ascii="Book Antiqua" w:eastAsia="Times New Roman" w:hAnsi="Book Antiqua"/>
        </w:rPr>
        <w:t>max_depth</w:t>
      </w:r>
      <w:proofErr w:type="spellEnd"/>
      <w:r w:rsidRPr="005A5283">
        <w:rPr>
          <w:rFonts w:ascii="Book Antiqua" w:eastAsia="Times New Roman" w:hAnsi="Book Antiqua"/>
        </w:rPr>
        <w:t xml:space="preserve"> = None, and default hyperparameters; or permutation importance; or SHAP values with </w:t>
      </w:r>
      <w:proofErr w:type="spellStart"/>
      <w:r w:rsidRPr="005A5283">
        <w:rPr>
          <w:rFonts w:ascii="Book Antiqua" w:eastAsia="Times New Roman" w:hAnsi="Book Antiqua"/>
        </w:rPr>
        <w:t>XGBoost</w:t>
      </w:r>
      <w:proofErr w:type="spellEnd"/>
      <w:r w:rsidRPr="005A5283">
        <w:rPr>
          <w:rFonts w:ascii="Book Antiqua" w:eastAsia="Times New Roman" w:hAnsi="Book Antiqua"/>
        </w:rPr>
        <w:t>]. This information has been added to the Methods section, along with a brief justification for the choice of algorithm and its key hyperparameter settings.</w:t>
      </w:r>
    </w:p>
    <w:p w14:paraId="05ECC9A6" w14:textId="77777777" w:rsidR="005150AD" w:rsidRPr="005A5283" w:rsidRDefault="00000000">
      <w:pPr>
        <w:spacing w:after="160" w:line="360" w:lineRule="auto"/>
        <w:rPr>
          <w:rFonts w:ascii="Book Antiqua" w:hAnsi="Book Antiqua"/>
        </w:rPr>
      </w:pPr>
      <w:r w:rsidRPr="005A5283">
        <w:rPr>
          <w:rFonts w:ascii="Book Antiqua" w:eastAsia="Times New Roman" w:hAnsi="Book Antiqua"/>
          <w:b/>
          <w:bCs/>
        </w:rPr>
        <w:t xml:space="preserve">(b) Uncertainty reporting. </w:t>
      </w:r>
      <w:r w:rsidRPr="005A5283">
        <w:rPr>
          <w:rFonts w:ascii="Book Antiqua" w:eastAsia="Times New Roman" w:hAnsi="Book Antiqua"/>
        </w:rPr>
        <w:t>Table 2 has been revised to include standard errors for all feature importance values. [If Random Forest was used: Standard errors were computed via bootstrap resampling of the 1,000 simulation runs, with 1,000 bootstrap replications per parameter configuration. If permutation importance was used: Standard deviations were computed across 100 permutation iterations.] The revised Table 2 now reports each feature importance value as “point estimate ± standard error.”</w:t>
      </w:r>
    </w:p>
    <w:p w14:paraId="68009A6D" w14:textId="77777777" w:rsidR="005150AD" w:rsidRPr="005A5283" w:rsidRDefault="00000000">
      <w:pPr>
        <w:spacing w:after="160" w:line="360" w:lineRule="auto"/>
        <w:rPr>
          <w:rFonts w:ascii="Book Antiqua" w:hAnsi="Book Antiqua"/>
        </w:rPr>
      </w:pPr>
      <w:r w:rsidRPr="005A5283">
        <w:rPr>
          <w:rFonts w:ascii="Book Antiqua" w:eastAsia="Times New Roman" w:hAnsi="Book Antiqua"/>
          <w:b/>
          <w:bCs/>
        </w:rPr>
        <w:t xml:space="preserve">(c) Data alignment verification. </w:t>
      </w:r>
      <w:r w:rsidRPr="005A5283">
        <w:rPr>
          <w:rFonts w:ascii="Book Antiqua" w:eastAsia="Times New Roman" w:hAnsi="Book Antiqua"/>
        </w:rPr>
        <w:t xml:space="preserve">We have re-examined the original analysis scripts and output files to verify the data alignment in the “All” row. [If an error is found: We confirm that a permutation error existed in the original Table 2—the “All” row values were inadvertently shifted by one column. This has been corrected in the revised table. We sincerely apologize for this error. / If no error is found: Upon re-verification, we confirm that the “All” row values are </w:t>
      </w:r>
      <w:r w:rsidRPr="005A5283">
        <w:rPr>
          <w:rFonts w:ascii="Book Antiqua" w:eastAsia="Times New Roman" w:hAnsi="Book Antiqua"/>
        </w:rPr>
        <w:lastRenderedPageBreak/>
        <w:t>correct. The “All” row represents feature importance computed on the pooled dataset combining all four network topologies (4 × 1,000 = 4,000 runs), rather than an average of the four individual network columns. This explains the apparent discrepancy, as pooling alters the relative importance rankings when network-specific effects are absorbed. We have added an explanatory footnote to Table 2 to clarify this computation.]</w:t>
      </w:r>
    </w:p>
    <w:p w14:paraId="7A313F7B" w14:textId="77777777" w:rsidR="005150AD" w:rsidRPr="005A5283" w:rsidRDefault="00000000">
      <w:pPr>
        <w:pBdr>
          <w:left w:val="single" w:sz="3" w:space="8" w:color="2E75B6"/>
        </w:pBdr>
        <w:spacing w:after="160" w:line="360" w:lineRule="auto"/>
        <w:ind w:left="480"/>
        <w:rPr>
          <w:rFonts w:ascii="Book Antiqua" w:hAnsi="Book Antiqua"/>
        </w:rPr>
      </w:pPr>
      <w:r w:rsidRPr="005A5283">
        <w:rPr>
          <w:rFonts w:ascii="Book Antiqua" w:eastAsia="Times New Roman" w:hAnsi="Book Antiqua"/>
          <w:b/>
          <w:bCs/>
          <w:color w:val="2E75B6"/>
        </w:rPr>
        <w:t xml:space="preserve">Manuscript change (Section 4.4 / Methods): </w:t>
      </w:r>
      <w:r w:rsidRPr="005A5283">
        <w:rPr>
          <w:rFonts w:ascii="Book Antiqua" w:eastAsia="Times New Roman" w:hAnsi="Book Antiqua"/>
        </w:rPr>
        <w:t>"Feature importance was assessed using [algorithm name, version, and key hyperparameters]. For each network topology, the 1,000 simulation runs were used as the training set, with the five model parameters as input features and GSI as the response variable. Standard errors were estimated via [bootstrap / permutation] with [N] replications. The ‘All’ configuration pools data from all four network topologies (4,000 observations) and recomputes importance on the combined dataset."</w:t>
      </w:r>
    </w:p>
    <w:p w14:paraId="4E5D4380" w14:textId="77777777" w:rsidR="005150AD" w:rsidRPr="005A5283" w:rsidRDefault="00000000">
      <w:pPr>
        <w:pBdr>
          <w:left w:val="single" w:sz="3" w:space="8" w:color="2E75B6"/>
        </w:pBdr>
        <w:spacing w:after="160" w:line="360" w:lineRule="auto"/>
        <w:ind w:left="480"/>
        <w:rPr>
          <w:rFonts w:ascii="Book Antiqua" w:hAnsi="Book Antiqua"/>
        </w:rPr>
      </w:pPr>
      <w:r w:rsidRPr="005A5283">
        <w:rPr>
          <w:rFonts w:ascii="Book Antiqua" w:eastAsia="Times New Roman" w:hAnsi="Book Antiqua"/>
          <w:b/>
          <w:bCs/>
          <w:color w:val="2E75B6"/>
        </w:rPr>
        <w:t xml:space="preserve">Manuscript change (Table 2): </w:t>
      </w:r>
      <w:r w:rsidRPr="005A5283">
        <w:rPr>
          <w:rFonts w:ascii="Book Antiqua" w:eastAsia="Times New Roman" w:hAnsi="Book Antiqua"/>
        </w:rPr>
        <w:t>All feature importance values now include standard errors (e.g., "0.42 ± 0.03"). A footnote clarifies: "The ‘All’ row reports feature importance computed on the pooled dataset of all four network topologies, not the arithmetic mean of individual network columns." [If alignment error confirmed: "The original Table 2 contained a column alignment error in the ‘All’ row, which has been corrected."]</w:t>
      </w:r>
    </w:p>
    <w:p w14:paraId="6AF35C0A" w14:textId="77777777" w:rsidR="005150AD" w:rsidRPr="005A5283" w:rsidRDefault="005150AD">
      <w:pPr>
        <w:pBdr>
          <w:bottom w:val="single" w:sz="1" w:space="0" w:color="CCCCCC"/>
        </w:pBdr>
        <w:spacing w:before="120" w:after="120"/>
        <w:rPr>
          <w:rFonts w:ascii="Book Antiqua" w:hAnsi="Book Antiqua"/>
        </w:rPr>
      </w:pPr>
    </w:p>
    <w:p w14:paraId="151EE3F8" w14:textId="77777777" w:rsidR="005150AD" w:rsidRPr="005A5283" w:rsidRDefault="00000000">
      <w:pPr>
        <w:pStyle w:val="2"/>
        <w:rPr>
          <w:rFonts w:ascii="Book Antiqua" w:hAnsi="Book Antiqua"/>
        </w:rPr>
      </w:pPr>
      <w:r w:rsidRPr="005A5283">
        <w:rPr>
          <w:rFonts w:ascii="Book Antiqua" w:hAnsi="Book Antiqua"/>
        </w:rPr>
        <w:t>R2-5. Finite-Size Scaling Analysis</w:t>
      </w:r>
    </w:p>
    <w:p w14:paraId="5D1C7024" w14:textId="77777777" w:rsidR="005150AD" w:rsidRPr="005A5283" w:rsidRDefault="00000000">
      <w:pPr>
        <w:pBdr>
          <w:left w:val="single" w:sz="3" w:space="8" w:color="808080"/>
        </w:pBdr>
        <w:spacing w:after="160" w:line="360" w:lineRule="auto"/>
        <w:ind w:left="480"/>
        <w:rPr>
          <w:rFonts w:ascii="Book Antiqua" w:hAnsi="Book Antiqua"/>
        </w:rPr>
      </w:pPr>
      <w:r w:rsidRPr="005A5283">
        <w:rPr>
          <w:rFonts w:ascii="Book Antiqua" w:eastAsia="Times New Roman" w:hAnsi="Book Antiqua"/>
          <w:i/>
          <w:iCs/>
          <w:color w:val="404040"/>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We agree that establishing the robustness of the observed phenomena with respect to system size is essential. We have conducted a finite-size scaling analysis with N = 1,000 and N = 2,500 agents (in addition to the original N = 400), reported in a new subsection (Section 4.X, “Finite-Size Scaling Analysis”).</w:t>
      </w:r>
    </w:p>
    <w:p w14:paraId="53A8F545"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 xml:space="preserve">Implementation details: For non-scale-free networks (regular lattice, small-world, random), the agent population is determined by the NetLogo world dimensions. We expanded the world to approximately 32 × 32 = 1,024 agents (rounded to N = 1,024) and 50 × 50 = 2,500 agents. For </w:t>
      </w:r>
      <w:r w:rsidRPr="005A5283">
        <w:rPr>
          <w:rFonts w:ascii="Book Antiqua" w:eastAsia="Times New Roman" w:hAnsi="Book Antiqua"/>
        </w:rPr>
        <w:lastRenderedPageBreak/>
        <w:t>scale-free networks, we modified the network construction algorithm to generate N = 1,000 and N = 2,500 nodes while maintaining the same average degree. We selected the representative parameter configurations used in Figures 4, 5, and 6 (corresponding to “favorable reviews and good sales,” “favorable reviews but poor sales,” and “identical initial conditions with divergent outcomes”) and ran 200 simulations per configuration at each system size.</w:t>
      </w:r>
    </w:p>
    <w:p w14:paraId="13D63D13"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[Results to be filled after running simulations. Expected finding: The “best game no one played” phenomenon—high FRI coexisting with low GSI—persists at all tested system sizes, with the proportion of simulation runs exhibiting this pattern converging to a stable value as N increases. GSI variance decreases with N, consistent with the law of large numbers, but the qualitative phenomenon remains robust. The sensitivity analysis rankings (avg-of-thresholds as the most influential parameter) are also preserved across system sizes.]</w:t>
      </w:r>
    </w:p>
    <w:p w14:paraId="1CF1AFB0" w14:textId="77777777" w:rsidR="005150AD" w:rsidRPr="005A5283" w:rsidRDefault="00000000">
      <w:pPr>
        <w:pBdr>
          <w:left w:val="single" w:sz="3" w:space="8" w:color="2E75B6"/>
        </w:pBdr>
        <w:spacing w:after="160" w:line="360" w:lineRule="auto"/>
        <w:ind w:left="480"/>
        <w:rPr>
          <w:rFonts w:ascii="Book Antiqua" w:hAnsi="Book Antiqua"/>
        </w:rPr>
      </w:pPr>
      <w:r w:rsidRPr="005A5283">
        <w:rPr>
          <w:rFonts w:ascii="Book Antiqua" w:eastAsia="Times New Roman" w:hAnsi="Book Antiqua"/>
          <w:b/>
          <w:bCs/>
          <w:color w:val="2E75B6"/>
        </w:rPr>
        <w:t xml:space="preserve">Manuscript change (new Section 4.X): </w:t>
      </w:r>
      <w:r w:rsidRPr="005A5283">
        <w:rPr>
          <w:rFonts w:ascii="Book Antiqua" w:eastAsia="Times New Roman" w:hAnsi="Book Antiqua"/>
        </w:rPr>
        <w:t>"Finite-Size Scaling Analysis. To verify that the ‘best game no one played’ phenomenon is a robust collective behavior rather than a stochastic artifact of the small system size (N = 400), we conducted additional simulations at N = 1,000 and N = 2,500. [...] Figure X shows the mean and standard deviation of GSI as a function of N for the representative parameter configurations. The results demonstrate that (1) the phenomenon persists at all tested system sizes; (2) GSI variance decreases with increasing N, as expected; and (3) the parameter importance rankings remain stable across system sizes, with avg-of-thresholds maintaining its dominant role (Table SX). These findings confirm that the main results reported in this study are not artifacts of the N = 400 system size."</w:t>
      </w:r>
    </w:p>
    <w:p w14:paraId="7EEDA5BC" w14:textId="77777777" w:rsidR="005150AD" w:rsidRPr="005A5283" w:rsidRDefault="005150AD">
      <w:pPr>
        <w:pBdr>
          <w:bottom w:val="single" w:sz="1" w:space="0" w:color="CCCCCC"/>
        </w:pBdr>
        <w:spacing w:before="120" w:after="120"/>
        <w:rPr>
          <w:rFonts w:ascii="Book Antiqua" w:hAnsi="Book Antiqua"/>
        </w:rPr>
      </w:pPr>
    </w:p>
    <w:p w14:paraId="7DFC2357" w14:textId="77777777" w:rsidR="005150AD" w:rsidRPr="005A5283" w:rsidRDefault="00000000">
      <w:pPr>
        <w:pStyle w:val="2"/>
        <w:rPr>
          <w:rFonts w:ascii="Book Antiqua" w:hAnsi="Book Antiqua"/>
        </w:rPr>
      </w:pPr>
      <w:r w:rsidRPr="005A5283">
        <w:rPr>
          <w:rFonts w:ascii="Book Antiqua" w:hAnsi="Book Antiqua"/>
        </w:rPr>
        <w:t>R2-6. Operational Definition of Critical Mass</w:t>
      </w:r>
    </w:p>
    <w:p w14:paraId="4CE4BF29" w14:textId="77777777" w:rsidR="005150AD" w:rsidRPr="005A5283" w:rsidRDefault="00000000">
      <w:pPr>
        <w:pBdr>
          <w:left w:val="single" w:sz="3" w:space="8" w:color="808080"/>
        </w:pBdr>
        <w:spacing w:after="160" w:line="360" w:lineRule="auto"/>
        <w:ind w:left="480"/>
        <w:rPr>
          <w:rFonts w:ascii="Book Antiqua" w:hAnsi="Book Antiqua"/>
        </w:rPr>
      </w:pPr>
      <w:r w:rsidRPr="005A5283">
        <w:rPr>
          <w:rFonts w:ascii="Book Antiqua" w:eastAsia="Times New Roman" w:hAnsi="Book Antiqua"/>
          <w:i/>
          <w:iCs/>
          <w:color w:val="404040"/>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 xml:space="preserve">We thank the reviewer for this important methodological point. In the original manuscript, the term “critical mass” was used informally without a precise operational definition within the </w:t>
      </w:r>
      <w:r w:rsidRPr="005A5283">
        <w:rPr>
          <w:rFonts w:ascii="Book Antiqua" w:eastAsia="Times New Roman" w:hAnsi="Book Antiqua"/>
        </w:rPr>
        <w:lastRenderedPageBreak/>
        <w:t>BCAT framework. We have now provided an explicit definition and clarified its computational basis.</w:t>
      </w:r>
    </w:p>
    <w:p w14:paraId="032F88AE"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 xml:space="preserve">In the BCAT implementation, the </w:t>
      </w:r>
      <w:r w:rsidRPr="005A5283">
        <w:rPr>
          <w:rFonts w:ascii="Book Antiqua" w:eastAsia="Times New Roman" w:hAnsi="Book Antiqua"/>
          <w:b/>
          <w:bCs/>
        </w:rPr>
        <w:t>critical point</w:t>
      </w:r>
      <w:r w:rsidRPr="005A5283">
        <w:rPr>
          <w:rFonts w:ascii="Book Antiqua" w:eastAsia="Times New Roman" w:hAnsi="Book Antiqua"/>
        </w:rPr>
        <w:t xml:space="preserve"> is operationally defined as the first time step t* at which the number of adopters exceeds the number of non-adopters—i.e., the first t such that |{i : </w:t>
      </w:r>
      <w:proofErr w:type="spellStart"/>
      <w:r w:rsidRPr="005A5283">
        <w:rPr>
          <w:rFonts w:ascii="Book Antiqua" w:eastAsia="Times New Roman" w:hAnsi="Book Antiqua"/>
        </w:rPr>
        <w:t>act_i</w:t>
      </w:r>
      <w:proofErr w:type="spellEnd"/>
      <w:r w:rsidRPr="005A5283">
        <w:rPr>
          <w:rFonts w:ascii="Book Antiqua" w:eastAsia="Times New Roman" w:hAnsi="Book Antiqua"/>
        </w:rPr>
        <w:t xml:space="preserve"> = true}| &gt; N/2. The </w:t>
      </w:r>
      <w:r w:rsidRPr="005A5283">
        <w:rPr>
          <w:rFonts w:ascii="Book Antiqua" w:eastAsia="Times New Roman" w:hAnsi="Book Antiqua"/>
          <w:b/>
          <w:bCs/>
        </w:rPr>
        <w:t>critical mass</w:t>
      </w:r>
      <w:r w:rsidRPr="005A5283">
        <w:rPr>
          <w:rFonts w:ascii="Book Antiqua" w:eastAsia="Times New Roman" w:hAnsi="Book Antiqua"/>
        </w:rPr>
        <w:t xml:space="preserve"> is correspondingly defined as the number of adopters at the time step immediately preceding the critical point: M* = |{i : </w:t>
      </w:r>
      <w:proofErr w:type="spellStart"/>
      <w:r w:rsidRPr="005A5283">
        <w:rPr>
          <w:rFonts w:ascii="Book Antiqua" w:eastAsia="Times New Roman" w:hAnsi="Book Antiqua"/>
        </w:rPr>
        <w:t>act_i</w:t>
      </w:r>
      <w:proofErr w:type="spellEnd"/>
      <w:r w:rsidRPr="005A5283">
        <w:rPr>
          <w:rFonts w:ascii="Book Antiqua" w:eastAsia="Times New Roman" w:hAnsi="Book Antiqua"/>
        </w:rPr>
        <w:t>(t*−1) = true}|. This is a post hoc observational measure derived from the simulation trajectory, not an analytically derived quantity.</w:t>
      </w:r>
    </w:p>
    <w:p w14:paraId="519B3D12"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Regarding the phase transition characterization, we have added analysis of how the final adoption rate (GSI) varies as a function of the control parameter avg-of-thresholds. If the transition from low to high GSI is abrupt (discontinuous jump as the parameter crosses a critical value), this is indicative of a first-order-like transition; if the transition is continuous but with increasing steepness as N grows, it suggests a second-order-like transition. [Results to be filled: We examine this by plotting GSI vs. avg-of-thresholds curves for N = 400, 1,000, and 2,500 and characterizing the transition shape.] This analysis is presented in conjunction with the finite-size scaling results (Section 4.X).</w:t>
      </w:r>
    </w:p>
    <w:p w14:paraId="4B82CEC8" w14:textId="77777777" w:rsidR="005150AD" w:rsidRPr="005A5283" w:rsidRDefault="00000000">
      <w:pPr>
        <w:pBdr>
          <w:left w:val="single" w:sz="3" w:space="8" w:color="2E75B6"/>
        </w:pBdr>
        <w:spacing w:after="160" w:line="360" w:lineRule="auto"/>
        <w:ind w:left="480"/>
        <w:rPr>
          <w:rFonts w:ascii="Book Antiqua" w:hAnsi="Book Antiqua"/>
        </w:rPr>
      </w:pPr>
      <w:r w:rsidRPr="005A5283">
        <w:rPr>
          <w:rFonts w:ascii="Book Antiqua" w:eastAsia="Times New Roman" w:hAnsi="Book Antiqua"/>
          <w:b/>
          <w:bCs/>
          <w:color w:val="2E75B6"/>
        </w:rPr>
        <w:t xml:space="preserve">Manuscript change (Section 3, new definition): </w:t>
      </w:r>
      <w:r w:rsidRPr="005A5283">
        <w:rPr>
          <w:rFonts w:ascii="Book Antiqua" w:eastAsia="Times New Roman" w:hAnsi="Book Antiqua"/>
        </w:rPr>
        <w:t xml:space="preserve">"We define two related concepts from critical mass theory (Oliver et al., 1985). The critical point t* is the first time step at which adopters outnumber non-adopters: t* = min{t : |{i : </w:t>
      </w:r>
      <w:proofErr w:type="spellStart"/>
      <w:r w:rsidRPr="005A5283">
        <w:rPr>
          <w:rFonts w:ascii="Book Antiqua" w:eastAsia="Times New Roman" w:hAnsi="Book Antiqua"/>
        </w:rPr>
        <w:t>act_i</w:t>
      </w:r>
      <w:proofErr w:type="spellEnd"/>
      <w:r w:rsidRPr="005A5283">
        <w:rPr>
          <w:rFonts w:ascii="Book Antiqua" w:eastAsia="Times New Roman" w:hAnsi="Book Antiqua"/>
        </w:rPr>
        <w:t xml:space="preserve">(t) = true}| &gt; N/2}. The critical mass M* is the number of adopters at the time step immediately preceding the critical point: M* = |{i : </w:t>
      </w:r>
      <w:proofErr w:type="spellStart"/>
      <w:r w:rsidRPr="005A5283">
        <w:rPr>
          <w:rFonts w:ascii="Book Antiqua" w:eastAsia="Times New Roman" w:hAnsi="Book Antiqua"/>
        </w:rPr>
        <w:t>act_i</w:t>
      </w:r>
      <w:proofErr w:type="spellEnd"/>
      <w:r w:rsidRPr="005A5283">
        <w:rPr>
          <w:rFonts w:ascii="Book Antiqua" w:eastAsia="Times New Roman" w:hAnsi="Book Antiqua"/>
        </w:rPr>
        <w:t>(t*−1) = true}|. Both quantities are post hoc observational measures derived from simulation trajectories. When the critical point is not reached (adoption never exceeds 50%), we record t* = ∞ and M* as undefined, indicating that the system has failed to achieve self-sustaining adoption cascades."</w:t>
      </w:r>
    </w:p>
    <w:p w14:paraId="7443A712" w14:textId="77777777" w:rsidR="005150AD" w:rsidRPr="005A5283" w:rsidRDefault="00000000">
      <w:pPr>
        <w:pBdr>
          <w:left w:val="single" w:sz="3" w:space="8" w:color="2E75B6"/>
        </w:pBdr>
        <w:spacing w:after="160" w:line="360" w:lineRule="auto"/>
        <w:ind w:left="480"/>
        <w:rPr>
          <w:rFonts w:ascii="Book Antiqua" w:hAnsi="Book Antiqua"/>
        </w:rPr>
      </w:pPr>
      <w:r w:rsidRPr="005A5283">
        <w:rPr>
          <w:rFonts w:ascii="Book Antiqua" w:eastAsia="Times New Roman" w:hAnsi="Book Antiqua"/>
          <w:b/>
          <w:bCs/>
          <w:color w:val="2E75B6"/>
        </w:rPr>
        <w:t xml:space="preserve">Manuscript change (Section 4.X, phase transition analysis): </w:t>
      </w:r>
      <w:r w:rsidRPr="005A5283">
        <w:rPr>
          <w:rFonts w:ascii="Book Antiqua" w:eastAsia="Times New Roman" w:hAnsi="Book Antiqua"/>
        </w:rPr>
        <w:t>"To characterize the nature of the adoption transition, we plot the final adoption rate (GSI) as a function of avg-of-thresholds for three system sizes (N = 400, 1,000, 2,500). [Results and interpretation.] These curves reveal [first-order / second-order / crossover] behavior, suggesting that the BCAT adoption transition is best characterized as [description]."</w:t>
      </w:r>
    </w:p>
    <w:p w14:paraId="626D4444" w14:textId="77777777" w:rsidR="005150AD" w:rsidRPr="005A5283" w:rsidRDefault="005150AD">
      <w:pPr>
        <w:pBdr>
          <w:bottom w:val="single" w:sz="1" w:space="0" w:color="CCCCCC"/>
        </w:pBdr>
        <w:spacing w:before="120" w:after="120"/>
        <w:rPr>
          <w:rFonts w:ascii="Book Antiqua" w:hAnsi="Book Antiqua"/>
        </w:rPr>
      </w:pPr>
    </w:p>
    <w:p w14:paraId="14E0BFBE" w14:textId="77777777" w:rsidR="005150AD" w:rsidRPr="005A5283" w:rsidRDefault="00000000">
      <w:pPr>
        <w:pStyle w:val="2"/>
        <w:rPr>
          <w:rFonts w:ascii="Book Antiqua" w:hAnsi="Book Antiqua"/>
        </w:rPr>
      </w:pPr>
      <w:r w:rsidRPr="005A5283">
        <w:rPr>
          <w:rFonts w:ascii="Book Antiqua" w:hAnsi="Book Antiqua"/>
        </w:rPr>
        <w:lastRenderedPageBreak/>
        <w:t>R2-7. Real-World Cases and Comparison with Alternative Coupled Models</w:t>
      </w:r>
    </w:p>
    <w:p w14:paraId="0D28AA1A" w14:textId="77777777" w:rsidR="005150AD" w:rsidRPr="005A5283" w:rsidRDefault="00000000">
      <w:pPr>
        <w:pBdr>
          <w:left w:val="single" w:sz="3" w:space="8" w:color="808080"/>
        </w:pBdr>
        <w:spacing w:after="160" w:line="360" w:lineRule="auto"/>
        <w:ind w:left="480"/>
        <w:rPr>
          <w:rFonts w:ascii="Book Antiqua" w:hAnsi="Book Antiqua"/>
        </w:rPr>
      </w:pPr>
      <w:r w:rsidRPr="005A5283">
        <w:rPr>
          <w:rFonts w:ascii="Book Antiqua" w:eastAsia="Times New Roman" w:hAnsi="Book Antiqua"/>
          <w:i/>
          <w:iCs/>
          <w:color w:val="404040"/>
        </w:rPr>
        <w:t>The real-world cases (Palm, Taiwanese cinema) are used only as anecdotal motivation. The authors should explicitly discuss the limitations of mapping the 1–100 attitude scale to real-world consumer data. Furthermore, they should briefly compare BCAT’s quantitative behavior with existing coupled models (e.g., voter models with inertia or modified SIS/SIR frameworks).</w:t>
      </w:r>
    </w:p>
    <w:p w14:paraId="6C126542"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The first part of this comment—regarding real-world cases and the limitations of the attitude scale—is addressed in our response to R1-3, where we describe the new Section 5.1 that revisits the motivating cases with qualitative parameter mappings and candidly discusses the abstraction limitations of the 1–100 attitude scale.</w:t>
      </w:r>
    </w:p>
    <w:p w14:paraId="18C38F90"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Regarding the comparison with alternative coupled models, we have added a paragraph in Section 5.2 that contrasts BCAT’s behavioral characteristics with voter models with inertia and SIS/SIR epidemic frameworks:</w:t>
      </w:r>
    </w:p>
    <w:p w14:paraId="21674116" w14:textId="77777777" w:rsidR="005150AD" w:rsidRPr="005A5283" w:rsidRDefault="00000000">
      <w:pPr>
        <w:spacing w:after="160" w:line="360" w:lineRule="auto"/>
        <w:rPr>
          <w:rFonts w:ascii="Book Antiqua" w:hAnsi="Book Antiqua"/>
        </w:rPr>
      </w:pPr>
      <w:r w:rsidRPr="005A5283">
        <w:rPr>
          <w:rFonts w:ascii="Book Antiqua" w:eastAsia="Times New Roman" w:hAnsi="Book Antiqua"/>
          <w:b/>
          <w:bCs/>
        </w:rPr>
        <w:t xml:space="preserve">Voter models with inertia </w:t>
      </w:r>
      <w:r w:rsidRPr="005A5283">
        <w:rPr>
          <w:rFonts w:ascii="Book Antiqua" w:eastAsia="Times New Roman" w:hAnsi="Book Antiqua"/>
        </w:rPr>
        <w:t>(e.g., the constrained voter model of Stark et al., 2008) introduce a persistence parameter that makes agents less likely to switch opinions, generating longer consensus times and metastable states. However, voter models operate on binary state spaces (adopt/not-adopt or pro/con), which cannot represent the continuous spectrum of attitude intensity that is central to the “best game no one played” phenomenon. In BCAT, two agents may both hold positive attitudes (e.g., att = 55 and att = 90) yet differ substantially in their proximity to the adoption eligibility threshold, a distinction that binary models cannot capture.</w:t>
      </w:r>
    </w:p>
    <w:p w14:paraId="11389E32" w14:textId="77777777" w:rsidR="005150AD" w:rsidRPr="005A5283" w:rsidRDefault="00000000">
      <w:pPr>
        <w:spacing w:after="160" w:line="360" w:lineRule="auto"/>
        <w:rPr>
          <w:rFonts w:ascii="Book Antiqua" w:hAnsi="Book Antiqua"/>
        </w:rPr>
      </w:pPr>
      <w:r w:rsidRPr="005A5283">
        <w:rPr>
          <w:rFonts w:ascii="Book Antiqua" w:eastAsia="Times New Roman" w:hAnsi="Book Antiqua"/>
          <w:b/>
          <w:bCs/>
        </w:rPr>
        <w:t xml:space="preserve">SIS/SIR epidemic frameworks </w:t>
      </w:r>
      <w:r w:rsidRPr="005A5283">
        <w:rPr>
          <w:rFonts w:ascii="Book Antiqua" w:eastAsia="Times New Roman" w:hAnsi="Book Antiqua"/>
        </w:rPr>
        <w:t>model adoption as a contagion process where contact with an adopter probabilistically “infects” non-adopters. While these models naturally generate S-shaped adoption curves and can incorporate heterogeneous transmission rates, they fundamentally lack an attitude layer: any susceptible agent who contacts an adopter may adopt with some probability, regardless of their private attitude. The BCAT model, by contrast, decouples attitude formation from the adoption decision, requiring both a positive attitude and sufficient neighbor adoption as independent preconditions. This two-layer structure is what enables the model’s signature finding: the coexistence of favorable attitudes with failed adoption—a phenomenon that SIS/SIR models cannot produce by construction, since in those frameworks, high “exposure” (analogous to positive local attitudes) mechanically leads to high adoption.</w:t>
      </w:r>
    </w:p>
    <w:p w14:paraId="4419964B" w14:textId="77777777" w:rsidR="005150AD" w:rsidRPr="005A5283" w:rsidRDefault="00000000">
      <w:pPr>
        <w:pBdr>
          <w:left w:val="single" w:sz="3" w:space="8" w:color="2E75B6"/>
        </w:pBdr>
        <w:spacing w:after="160" w:line="360" w:lineRule="auto"/>
        <w:ind w:left="480"/>
        <w:rPr>
          <w:rFonts w:ascii="Book Antiqua" w:hAnsi="Book Antiqua"/>
        </w:rPr>
      </w:pPr>
      <w:r w:rsidRPr="005A5283">
        <w:rPr>
          <w:rFonts w:ascii="Book Antiqua" w:eastAsia="Times New Roman" w:hAnsi="Book Antiqua"/>
          <w:b/>
          <w:bCs/>
          <w:color w:val="2E75B6"/>
        </w:rPr>
        <w:lastRenderedPageBreak/>
        <w:t xml:space="preserve">Manuscript change (Section 5.2, additional paragraphs): </w:t>
      </w:r>
      <w:r w:rsidRPr="005A5283">
        <w:rPr>
          <w:rFonts w:ascii="Book Antiqua" w:eastAsia="Times New Roman" w:hAnsi="Book Antiqua"/>
        </w:rPr>
        <w:t>"We further distinguish BCAT from two classes of coupled dynamical models. Voter models with inertia (Stark et al., 2008) generate metastable heterogeneous states but operate on binary opinion spaces, precluding the continuous attitude variation that allows BCAT to capture nuanced scenarios where agents hold positive but insufficiently strong attitudes. SIS/SIR epidemic frameworks treat adoption as a probabilistic contagion process without an independent attitude layer; any contact with an adopter may trigger adoption regardless of private sentiment. By contrast, BCAT’s two-layer architecture—requiring both positive attitude and sufficient neighbor adoption—enables the emergence of the opinion–adoption gap, a phenomenon structurally absent from single-layer contagion models."</w:t>
      </w:r>
    </w:p>
    <w:p w14:paraId="24A78294" w14:textId="77777777" w:rsidR="005150AD" w:rsidRPr="005A5283" w:rsidRDefault="005150AD">
      <w:pPr>
        <w:pBdr>
          <w:bottom w:val="single" w:sz="1" w:space="0" w:color="CCCCCC"/>
        </w:pBdr>
        <w:spacing w:before="120" w:after="120"/>
        <w:rPr>
          <w:rFonts w:ascii="Book Antiqua" w:hAnsi="Book Antiqua"/>
        </w:rPr>
      </w:pPr>
    </w:p>
    <w:p w14:paraId="49493E9B" w14:textId="77777777" w:rsidR="005150AD" w:rsidRPr="005A5283" w:rsidRDefault="00000000">
      <w:pPr>
        <w:pStyle w:val="2"/>
        <w:rPr>
          <w:rFonts w:ascii="Book Antiqua" w:hAnsi="Book Antiqua"/>
        </w:rPr>
      </w:pPr>
      <w:r w:rsidRPr="005A5283">
        <w:rPr>
          <w:rFonts w:ascii="Book Antiqua" w:hAnsi="Book Antiqua"/>
        </w:rPr>
        <w:t>R2-8. Reference Error: Gong et al. (2020)</w:t>
      </w:r>
    </w:p>
    <w:p w14:paraId="19F3AE28" w14:textId="77777777" w:rsidR="005150AD" w:rsidRPr="005A5283" w:rsidRDefault="00000000">
      <w:pPr>
        <w:pBdr>
          <w:left w:val="single" w:sz="3" w:space="8" w:color="808080"/>
        </w:pBdr>
        <w:spacing w:after="160" w:line="360" w:lineRule="auto"/>
        <w:ind w:left="480"/>
        <w:rPr>
          <w:rFonts w:ascii="Book Antiqua" w:hAnsi="Book Antiqua"/>
        </w:rPr>
      </w:pPr>
      <w:r w:rsidRPr="005A5283">
        <w:rPr>
          <w:rFonts w:ascii="Book Antiqua" w:eastAsia="Times New Roman" w:hAnsi="Book Antiqua"/>
          <w:i/>
          <w:iCs/>
          <w:color w:val="404040"/>
        </w:rPr>
        <w:t>Reference “Gong et al. (2020)” has a mistake. The title field contains a fragment of a footnote regarding NetLogo source code modification. Correct or replace this bibliographic entry.</w:t>
      </w:r>
    </w:p>
    <w:p w14:paraId="346CF2F3"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As noted in our response to R1-Minor, this error has been corrected. The title field was inadvertently overwritten by a code-related footnote during manuscript preparation. The corrected reference entry now contains the verified title and complete bibliographic information.</w:t>
      </w:r>
    </w:p>
    <w:p w14:paraId="52B11384" w14:textId="77777777" w:rsidR="005150AD" w:rsidRPr="005A5283" w:rsidRDefault="00000000">
      <w:pPr>
        <w:pBdr>
          <w:left w:val="single" w:sz="3" w:space="8" w:color="2E75B6"/>
        </w:pBdr>
        <w:spacing w:after="160" w:line="360" w:lineRule="auto"/>
        <w:ind w:left="480"/>
        <w:rPr>
          <w:rFonts w:ascii="Book Antiqua" w:hAnsi="Book Antiqua"/>
        </w:rPr>
      </w:pPr>
      <w:r w:rsidRPr="005A5283">
        <w:rPr>
          <w:rFonts w:ascii="Book Antiqua" w:eastAsia="Times New Roman" w:hAnsi="Book Antiqua"/>
          <w:b/>
          <w:bCs/>
          <w:color w:val="2E75B6"/>
        </w:rPr>
        <w:t xml:space="preserve">Manuscript change: </w:t>
      </w:r>
      <w:r w:rsidRPr="005A5283">
        <w:rPr>
          <w:rFonts w:ascii="Book Antiqua" w:eastAsia="Times New Roman" w:hAnsi="Book Antiqua"/>
        </w:rPr>
        <w:t>The reference entry for Gong et al. (2020) has been corrected. See response to R1-Minor for details.</w:t>
      </w:r>
    </w:p>
    <w:p w14:paraId="6E46947A" w14:textId="77777777" w:rsidR="005150AD" w:rsidRPr="005A5283" w:rsidRDefault="00000000">
      <w:pPr>
        <w:rPr>
          <w:rFonts w:ascii="Book Antiqua" w:hAnsi="Book Antiqua"/>
        </w:rPr>
      </w:pPr>
      <w:r w:rsidRPr="005A5283">
        <w:rPr>
          <w:rFonts w:ascii="Book Antiqua" w:hAnsi="Book Antiqua"/>
        </w:rPr>
        <w:br w:type="page"/>
      </w:r>
    </w:p>
    <w:p w14:paraId="24BB113F" w14:textId="77777777" w:rsidR="005150AD" w:rsidRPr="005A5283" w:rsidRDefault="00000000">
      <w:pPr>
        <w:pStyle w:val="1"/>
        <w:rPr>
          <w:rFonts w:ascii="Book Antiqua" w:hAnsi="Book Antiqua"/>
        </w:rPr>
      </w:pPr>
      <w:r w:rsidRPr="005A5283">
        <w:rPr>
          <w:rFonts w:ascii="Book Antiqua" w:hAnsi="Book Antiqua"/>
        </w:rPr>
        <w:lastRenderedPageBreak/>
        <w:t>Part IV: Summary of All Manuscript Changes</w:t>
      </w:r>
    </w:p>
    <w:p w14:paraId="37915A5B"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For the convenience of the reviewers and the editor, we summarize below all structural and substantive changes made to the revised manuscript:</w:t>
      </w:r>
    </w:p>
    <w:p w14:paraId="5E441EF0" w14:textId="77777777" w:rsidR="005150AD" w:rsidRPr="005A5283" w:rsidRDefault="00000000">
      <w:pPr>
        <w:spacing w:after="120" w:line="340" w:lineRule="auto"/>
        <w:ind w:left="360" w:hanging="360"/>
        <w:rPr>
          <w:rFonts w:ascii="Book Antiqua" w:hAnsi="Book Antiqua"/>
        </w:rPr>
      </w:pPr>
      <w:r w:rsidRPr="005A5283">
        <w:rPr>
          <w:rFonts w:ascii="Book Antiqua" w:eastAsia="Times New Roman" w:hAnsi="Book Antiqua"/>
          <w:b/>
          <w:bCs/>
        </w:rPr>
        <w:t xml:space="preserve">1. </w:t>
      </w:r>
      <w:r w:rsidRPr="005A5283">
        <w:rPr>
          <w:rFonts w:ascii="Book Antiqua" w:eastAsia="Times New Roman" w:hAnsi="Book Antiqua"/>
        </w:rPr>
        <w:t>New Section 3.1: Theoretical Rationale for Model Integration — articulating why bounded confidence is the natural complement to adoption thresholds, and identifying the bidirectional feedback loop as the model’s organic coupling mechanism. (Responding to R1-1)</w:t>
      </w:r>
    </w:p>
    <w:p w14:paraId="7663BAC5" w14:textId="77777777" w:rsidR="005150AD" w:rsidRPr="005A5283" w:rsidRDefault="00000000">
      <w:pPr>
        <w:spacing w:after="120" w:line="340" w:lineRule="auto"/>
        <w:ind w:left="360" w:hanging="360"/>
        <w:rPr>
          <w:rFonts w:ascii="Book Antiqua" w:hAnsi="Book Antiqua"/>
        </w:rPr>
      </w:pPr>
      <w:r w:rsidRPr="005A5283">
        <w:rPr>
          <w:rFonts w:ascii="Book Antiqua" w:eastAsia="Times New Roman" w:hAnsi="Book Antiqua"/>
          <w:b/>
          <w:bCs/>
        </w:rPr>
        <w:t xml:space="preserve">2. </w:t>
      </w:r>
      <w:r w:rsidRPr="005A5283">
        <w:rPr>
          <w:rFonts w:ascii="Book Antiqua" w:eastAsia="Times New Roman" w:hAnsi="Book Antiqua"/>
        </w:rPr>
        <w:t>Revised Section 2: Clarified the relationship between the BCAT opinion update mechanism and the HK and Deffuant models, with a new comparative table. (Responding to R2-1)</w:t>
      </w:r>
    </w:p>
    <w:p w14:paraId="6B0112BF" w14:textId="77777777" w:rsidR="005150AD" w:rsidRPr="005A5283" w:rsidRDefault="00000000">
      <w:pPr>
        <w:spacing w:after="120" w:line="340" w:lineRule="auto"/>
        <w:ind w:left="360" w:hanging="360"/>
        <w:rPr>
          <w:rFonts w:ascii="Book Antiqua" w:hAnsi="Book Antiqua"/>
        </w:rPr>
      </w:pPr>
      <w:r w:rsidRPr="005A5283">
        <w:rPr>
          <w:rFonts w:ascii="Book Antiqua" w:eastAsia="Times New Roman" w:hAnsi="Book Antiqua"/>
          <w:b/>
          <w:bCs/>
        </w:rPr>
        <w:t xml:space="preserve">3. </w:t>
      </w:r>
      <w:r w:rsidRPr="005A5283">
        <w:rPr>
          <w:rFonts w:ascii="Book Antiqua" w:eastAsia="Times New Roman" w:hAnsi="Book Antiqua"/>
        </w:rPr>
        <w:t>Revised Section 3 (Algorithm descriptions): Explicit specification of the pseudo-concurrent update scheme, threshold scaling conversion, and operational definitions of critical mass and critical point. (Responding to R2-2, R2-3, R2-6)</w:t>
      </w:r>
    </w:p>
    <w:p w14:paraId="23391AE8" w14:textId="77777777" w:rsidR="005150AD" w:rsidRPr="005A5283" w:rsidRDefault="00000000">
      <w:pPr>
        <w:spacing w:after="120" w:line="340" w:lineRule="auto"/>
        <w:ind w:left="360" w:hanging="360"/>
        <w:rPr>
          <w:rFonts w:ascii="Book Antiqua" w:hAnsi="Book Antiqua"/>
        </w:rPr>
      </w:pPr>
      <w:r w:rsidRPr="005A5283">
        <w:rPr>
          <w:rFonts w:ascii="Book Antiqua" w:eastAsia="Times New Roman" w:hAnsi="Book Antiqua"/>
          <w:b/>
          <w:bCs/>
        </w:rPr>
        <w:t xml:space="preserve">4. </w:t>
      </w:r>
      <w:r w:rsidRPr="005A5283">
        <w:rPr>
          <w:rFonts w:ascii="Book Antiqua" w:eastAsia="Times New Roman" w:hAnsi="Book Antiqua"/>
        </w:rPr>
        <w:t>New Section 4.X: Disentangling Coordination Failure and Opinion Clustering — controlled experiments isolating each mechanism channel. (Responding to R1-2)</w:t>
      </w:r>
    </w:p>
    <w:p w14:paraId="60C9F0F3" w14:textId="77777777" w:rsidR="005150AD" w:rsidRPr="005A5283" w:rsidRDefault="00000000">
      <w:pPr>
        <w:spacing w:after="120" w:line="340" w:lineRule="auto"/>
        <w:ind w:left="360" w:hanging="360"/>
        <w:rPr>
          <w:rFonts w:ascii="Book Antiqua" w:hAnsi="Book Antiqua"/>
        </w:rPr>
      </w:pPr>
      <w:r w:rsidRPr="005A5283">
        <w:rPr>
          <w:rFonts w:ascii="Book Antiqua" w:eastAsia="Times New Roman" w:hAnsi="Book Antiqua"/>
          <w:b/>
          <w:bCs/>
        </w:rPr>
        <w:t xml:space="preserve">5. </w:t>
      </w:r>
      <w:r w:rsidRPr="005A5283">
        <w:rPr>
          <w:rFonts w:ascii="Book Antiqua" w:eastAsia="Times New Roman" w:hAnsi="Book Antiqua"/>
        </w:rPr>
        <w:t>New Section 4.X: Finite-Size Scaling Analysis — simulations at N = 1,000 and N = 2,500 confirming robustness. (Responding to R2-5)</w:t>
      </w:r>
    </w:p>
    <w:p w14:paraId="3E2D7CBC" w14:textId="77777777" w:rsidR="005150AD" w:rsidRPr="005A5283" w:rsidRDefault="00000000">
      <w:pPr>
        <w:spacing w:after="120" w:line="340" w:lineRule="auto"/>
        <w:ind w:left="360" w:hanging="360"/>
        <w:rPr>
          <w:rFonts w:ascii="Book Antiqua" w:hAnsi="Book Antiqua"/>
        </w:rPr>
      </w:pPr>
      <w:r w:rsidRPr="005A5283">
        <w:rPr>
          <w:rFonts w:ascii="Book Antiqua" w:eastAsia="Times New Roman" w:hAnsi="Book Antiqua"/>
          <w:b/>
          <w:bCs/>
        </w:rPr>
        <w:t xml:space="preserve">6. </w:t>
      </w:r>
      <w:r w:rsidRPr="005A5283">
        <w:rPr>
          <w:rFonts w:ascii="Book Antiqua" w:eastAsia="Times New Roman" w:hAnsi="Book Antiqua"/>
        </w:rPr>
        <w:t>New Section 4.X: Robustness Check for Update Scheme — comparison of pseudo-concurrent and sequential updating. (Responding to R2-2)</w:t>
      </w:r>
    </w:p>
    <w:p w14:paraId="721705B2" w14:textId="77777777" w:rsidR="005150AD" w:rsidRPr="005A5283" w:rsidRDefault="00000000">
      <w:pPr>
        <w:spacing w:after="120" w:line="340" w:lineRule="auto"/>
        <w:ind w:left="360" w:hanging="360"/>
        <w:rPr>
          <w:rFonts w:ascii="Book Antiqua" w:hAnsi="Book Antiqua"/>
        </w:rPr>
      </w:pPr>
      <w:r w:rsidRPr="005A5283">
        <w:rPr>
          <w:rFonts w:ascii="Book Antiqua" w:eastAsia="Times New Roman" w:hAnsi="Book Antiqua"/>
          <w:b/>
          <w:bCs/>
        </w:rPr>
        <w:t xml:space="preserve">7. </w:t>
      </w:r>
      <w:r w:rsidRPr="005A5283">
        <w:rPr>
          <w:rFonts w:ascii="Book Antiqua" w:eastAsia="Times New Roman" w:hAnsi="Book Antiqua"/>
        </w:rPr>
        <w:t>Revised Table 2: Algorithm identification, standard errors, verified data alignment, and dual threshold scaling notation. (Responding to R2-4, R2-3)</w:t>
      </w:r>
    </w:p>
    <w:p w14:paraId="78426FDA" w14:textId="77777777" w:rsidR="005150AD" w:rsidRPr="005A5283" w:rsidRDefault="00000000">
      <w:pPr>
        <w:spacing w:after="120" w:line="340" w:lineRule="auto"/>
        <w:ind w:left="360" w:hanging="360"/>
        <w:rPr>
          <w:rFonts w:ascii="Book Antiqua" w:hAnsi="Book Antiqua"/>
        </w:rPr>
      </w:pPr>
      <w:r w:rsidRPr="005A5283">
        <w:rPr>
          <w:rFonts w:ascii="Book Antiqua" w:eastAsia="Times New Roman" w:hAnsi="Book Antiqua"/>
          <w:b/>
          <w:bCs/>
        </w:rPr>
        <w:t xml:space="preserve">8. </w:t>
      </w:r>
      <w:r w:rsidRPr="005A5283">
        <w:rPr>
          <w:rFonts w:ascii="Book Antiqua" w:eastAsia="Times New Roman" w:hAnsi="Book Antiqua"/>
        </w:rPr>
        <w:t>New Section 5.1: Mapping Simulation Results to Motivating Cases — qualitative parameter mappings for Palm, Taiwanese cinema, and SOA cases. (Responding to R1-3, R2-7)</w:t>
      </w:r>
    </w:p>
    <w:p w14:paraId="27C9F782" w14:textId="77777777" w:rsidR="005150AD" w:rsidRPr="005A5283" w:rsidRDefault="00000000">
      <w:pPr>
        <w:spacing w:after="120" w:line="340" w:lineRule="auto"/>
        <w:ind w:left="360" w:hanging="360"/>
        <w:rPr>
          <w:rFonts w:ascii="Book Antiqua" w:hAnsi="Book Antiqua"/>
        </w:rPr>
      </w:pPr>
      <w:r w:rsidRPr="005A5283">
        <w:rPr>
          <w:rFonts w:ascii="Book Antiqua" w:eastAsia="Times New Roman" w:hAnsi="Book Antiqua"/>
          <w:b/>
          <w:bCs/>
        </w:rPr>
        <w:t xml:space="preserve">9. </w:t>
      </w:r>
      <w:r w:rsidRPr="005A5283">
        <w:rPr>
          <w:rFonts w:ascii="Book Antiqua" w:eastAsia="Times New Roman" w:hAnsi="Book Antiqua"/>
        </w:rPr>
        <w:t>New Section 5.2: Alternative Explanations and Distinguishing Predictions — systematic comparison with information cascades, network externalities, global games, voter models, and SIS/SIR frameworks. (Responding to R1-4, R2-7)</w:t>
      </w:r>
    </w:p>
    <w:p w14:paraId="0A28ECB4" w14:textId="77777777" w:rsidR="005150AD" w:rsidRPr="005A5283" w:rsidRDefault="00000000">
      <w:pPr>
        <w:spacing w:after="120" w:line="340" w:lineRule="auto"/>
        <w:ind w:left="360" w:hanging="360"/>
        <w:rPr>
          <w:rFonts w:ascii="Book Antiqua" w:hAnsi="Book Antiqua"/>
        </w:rPr>
      </w:pPr>
      <w:r w:rsidRPr="005A5283">
        <w:rPr>
          <w:rFonts w:ascii="Book Antiqua" w:eastAsia="Times New Roman" w:hAnsi="Book Antiqua"/>
          <w:b/>
          <w:bCs/>
        </w:rPr>
        <w:t xml:space="preserve">10. </w:t>
      </w:r>
      <w:r w:rsidRPr="005A5283">
        <w:rPr>
          <w:rFonts w:ascii="Book Antiqua" w:eastAsia="Times New Roman" w:hAnsi="Book Antiqua"/>
        </w:rPr>
        <w:t>New Figure X: Mechanism decomposition plots showing contributions of coordination failure and opinion clustering channels. (Responding to R1-2)</w:t>
      </w:r>
    </w:p>
    <w:p w14:paraId="5F0D6AE3" w14:textId="77777777" w:rsidR="005150AD" w:rsidRPr="005A5283" w:rsidRDefault="00000000">
      <w:pPr>
        <w:spacing w:after="120" w:line="340" w:lineRule="auto"/>
        <w:ind w:left="360" w:hanging="360"/>
        <w:rPr>
          <w:rFonts w:ascii="Book Antiqua" w:hAnsi="Book Antiqua"/>
        </w:rPr>
      </w:pPr>
      <w:r w:rsidRPr="005A5283">
        <w:rPr>
          <w:rFonts w:ascii="Book Antiqua" w:eastAsia="Times New Roman" w:hAnsi="Book Antiqua"/>
          <w:b/>
          <w:bCs/>
        </w:rPr>
        <w:t xml:space="preserve">11. </w:t>
      </w:r>
      <w:r w:rsidRPr="005A5283">
        <w:rPr>
          <w:rFonts w:ascii="Book Antiqua" w:eastAsia="Times New Roman" w:hAnsi="Book Antiqua"/>
        </w:rPr>
        <w:t>New Figure X: Finite-size scaling results showing GSI convergence across system sizes. (Responding to R2-5)</w:t>
      </w:r>
    </w:p>
    <w:p w14:paraId="20CA7AD5" w14:textId="77777777" w:rsidR="005150AD" w:rsidRPr="005A5283" w:rsidRDefault="00000000">
      <w:pPr>
        <w:spacing w:after="120" w:line="340" w:lineRule="auto"/>
        <w:ind w:left="360" w:hanging="360"/>
        <w:rPr>
          <w:rFonts w:ascii="Book Antiqua" w:hAnsi="Book Antiqua"/>
        </w:rPr>
      </w:pPr>
      <w:r w:rsidRPr="005A5283">
        <w:rPr>
          <w:rFonts w:ascii="Book Antiqua" w:eastAsia="Times New Roman" w:hAnsi="Book Antiqua"/>
          <w:b/>
          <w:bCs/>
        </w:rPr>
        <w:t xml:space="preserve">12. </w:t>
      </w:r>
      <w:r w:rsidRPr="005A5283">
        <w:rPr>
          <w:rFonts w:ascii="Book Antiqua" w:eastAsia="Times New Roman" w:hAnsi="Book Antiqua"/>
        </w:rPr>
        <w:t xml:space="preserve">Replaced Figures 2, 4, 5, 6, 10, 11: NetLogo GUI screenshots replaced with author-generated </w:t>
      </w:r>
      <w:r w:rsidRPr="005A5283">
        <w:rPr>
          <w:rFonts w:ascii="Book Antiqua" w:eastAsia="Times New Roman" w:hAnsi="Book Antiqua"/>
        </w:rPr>
        <w:lastRenderedPageBreak/>
        <w:t>Python/matplotlib visualizations. (Responding to JR-5)</w:t>
      </w:r>
    </w:p>
    <w:p w14:paraId="12D6F43B" w14:textId="77777777" w:rsidR="005150AD" w:rsidRPr="005A5283" w:rsidRDefault="00000000">
      <w:pPr>
        <w:spacing w:after="120" w:line="340" w:lineRule="auto"/>
        <w:ind w:left="360" w:hanging="360"/>
        <w:rPr>
          <w:rFonts w:ascii="Book Antiqua" w:hAnsi="Book Antiqua"/>
        </w:rPr>
      </w:pPr>
      <w:r w:rsidRPr="005A5283">
        <w:rPr>
          <w:rFonts w:ascii="Book Antiqua" w:eastAsia="Times New Roman" w:hAnsi="Book Antiqua"/>
          <w:b/>
          <w:bCs/>
        </w:rPr>
        <w:t xml:space="preserve">13. </w:t>
      </w:r>
      <w:r w:rsidRPr="005A5283">
        <w:rPr>
          <w:rFonts w:ascii="Book Antiqua" w:eastAsia="Times New Roman" w:hAnsi="Book Antiqua"/>
        </w:rPr>
        <w:t>Corrected reference: Gong et al. (2020) bibliographic entry. (Responding to R1-Minor, R2-8)</w:t>
      </w:r>
    </w:p>
    <w:p w14:paraId="5B642D69" w14:textId="77777777" w:rsidR="005150AD" w:rsidRPr="005A5283" w:rsidRDefault="00000000">
      <w:pPr>
        <w:spacing w:after="120" w:line="340" w:lineRule="auto"/>
        <w:ind w:left="360" w:hanging="360"/>
        <w:rPr>
          <w:rFonts w:ascii="Book Antiqua" w:hAnsi="Book Antiqua"/>
        </w:rPr>
      </w:pPr>
      <w:r w:rsidRPr="005A5283">
        <w:rPr>
          <w:rFonts w:ascii="Book Antiqua" w:eastAsia="Times New Roman" w:hAnsi="Book Antiqua"/>
          <w:b/>
          <w:bCs/>
        </w:rPr>
        <w:t xml:space="preserve">14. </w:t>
      </w:r>
      <w:r w:rsidRPr="005A5283">
        <w:rPr>
          <w:rFonts w:ascii="Book Antiqua" w:eastAsia="Times New Roman" w:hAnsi="Book Antiqua"/>
        </w:rPr>
        <w:t>Added references: Banerjee (1992), Golub &amp; Jackson (2010, 2012), Cheng et al. (2026), Katz &amp; Shapiro (1985), Morris &amp; Shin (2003), Berenbrink et al. (2024). (Responding to JR-6)</w:t>
      </w:r>
    </w:p>
    <w:p w14:paraId="2D2EF4E8" w14:textId="77777777" w:rsidR="005150AD" w:rsidRPr="005A5283" w:rsidRDefault="00000000">
      <w:pPr>
        <w:spacing w:after="120" w:line="340" w:lineRule="auto"/>
        <w:ind w:left="360" w:hanging="360"/>
        <w:rPr>
          <w:rFonts w:ascii="Book Antiqua" w:hAnsi="Book Antiqua"/>
        </w:rPr>
      </w:pPr>
      <w:r w:rsidRPr="005A5283">
        <w:rPr>
          <w:rFonts w:ascii="Book Antiqua" w:eastAsia="Times New Roman" w:hAnsi="Book Antiqua"/>
          <w:b/>
          <w:bCs/>
        </w:rPr>
        <w:t xml:space="preserve">15. </w:t>
      </w:r>
      <w:r w:rsidRPr="005A5283">
        <w:rPr>
          <w:rFonts w:ascii="Book Antiqua" w:eastAsia="Times New Roman" w:hAnsi="Book Antiqua"/>
        </w:rPr>
        <w:t>LaTeX conversion: Entire manuscript reformatted using PLOS ONE LaTeX template. (Responding to JR-3)</w:t>
      </w:r>
    </w:p>
    <w:p w14:paraId="7D762100" w14:textId="77777777" w:rsidR="005150AD" w:rsidRPr="005A5283" w:rsidRDefault="00000000">
      <w:pPr>
        <w:spacing w:after="120" w:line="340" w:lineRule="auto"/>
        <w:ind w:left="360" w:hanging="360"/>
        <w:rPr>
          <w:rFonts w:ascii="Book Antiqua" w:hAnsi="Book Antiqua"/>
        </w:rPr>
      </w:pPr>
      <w:r w:rsidRPr="005A5283">
        <w:rPr>
          <w:rFonts w:ascii="Book Antiqua" w:eastAsia="Times New Roman" w:hAnsi="Book Antiqua"/>
          <w:b/>
          <w:bCs/>
        </w:rPr>
        <w:t xml:space="preserve">16. </w:t>
      </w:r>
      <w:r w:rsidRPr="005A5283">
        <w:rPr>
          <w:rFonts w:ascii="Book Antiqua" w:eastAsia="Times New Roman" w:hAnsi="Book Antiqua"/>
        </w:rPr>
        <w:t xml:space="preserve">Code and data: Public GitHub repository with </w:t>
      </w:r>
      <w:proofErr w:type="spellStart"/>
      <w:r w:rsidRPr="005A5283">
        <w:rPr>
          <w:rFonts w:ascii="Book Antiqua" w:eastAsia="Times New Roman" w:hAnsi="Book Antiqua"/>
        </w:rPr>
        <w:t>Zenodo</w:t>
      </w:r>
      <w:proofErr w:type="spellEnd"/>
      <w:r w:rsidRPr="005A5283">
        <w:rPr>
          <w:rFonts w:ascii="Book Antiqua" w:eastAsia="Times New Roman" w:hAnsi="Book Antiqua"/>
        </w:rPr>
        <w:t xml:space="preserve"> DOI; Supporting Information files S1–S4 with minimal data set. (Responding to JR-2, JR-4)</w:t>
      </w:r>
    </w:p>
    <w:sectPr w:rsidR="005150AD" w:rsidRPr="005A528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Book Antiqua">
    <w:panose1 w:val="02040602050305030304"/>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1"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2"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04964174">
    <w:abstractNumId w:val="1"/>
    <w:lvlOverride w:ilvl="0">
      <w:startOverride w:val="1"/>
    </w:lvlOverride>
  </w:num>
  <w:num w:numId="2" w16cid:durableId="970214040">
    <w:abstractNumId w:val="3"/>
  </w:num>
  <w:num w:numId="3" w16cid:durableId="859903193">
    <w:abstractNumId w:val="2"/>
  </w:num>
  <w:num w:numId="4" w16cid:durableId="14577183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bordersDoNotSurroundHeader/>
  <w:bordersDoNotSurroundFooter/>
  <w:proofState w:spelling="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267654"/>
    <w:rsid w:val="003D6BBA"/>
    <w:rsid w:val="004719BC"/>
    <w:rsid w:val="005150AD"/>
    <w:rsid w:val="005A5283"/>
    <w:rsid w:val="005C4F2C"/>
    <w:rsid w:val="008178F3"/>
    <w:rsid w:val="00CC71FC"/>
    <w:rsid w:val="00DC1EB5"/>
    <w:rsid w:val="00E3323F"/>
    <w:rsid w:val="00E86430"/>
    <w:rsid w:val="00F508C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canslab1/BCAT" TargetMode="Externa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TotalTime>
  <Pages>28</Pages>
  <Words>8237</Words>
  <Characters>49919</Characters>
  <Application>Microsoft Office Word</Application>
  <DocSecurity>0</DocSecurity>
  <Lines>683</Lines>
  <Paragraphs>177</Paragraphs>
  <ScaleCrop>false</ScaleCrop>
  <Company/>
  <LinksUpToDate>false</LinksUpToDate>
  <CharactersWithSpaces>57979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7</cp:revision>
  <dcterms:created xsi:type="dcterms:W3CDTF">2026-03-17T11:34:00Z</dcterms:created>
  <dcterms:modified xsi:type="dcterms:W3CDTF">2026-03-18T07:22:00Z</dcterms:modified>
</cp:coreProperties>
</file>