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9F73" w14:textId="77777777" w:rsidR="00BA31AA" w:rsidRDefault="00BA31AA" w:rsidP="00BA31AA">
      <w:pPr>
        <w:spacing w:after="240"/>
        <w:jc w:val="center"/>
        <w:rPr>
          <w:rFonts w:ascii="Book Antiqua" w:eastAsia="Times New Roman" w:hAnsi="Book Antiqua"/>
          <w:b/>
          <w:bCs/>
          <w:sz w:val="40"/>
          <w:szCs w:val="40"/>
        </w:rPr>
      </w:pPr>
    </w:p>
    <w:p w14:paraId="6C8AD2A1" w14:textId="77777777" w:rsidR="00BA31AA" w:rsidRDefault="00BA31AA" w:rsidP="00BA31AA">
      <w:pPr>
        <w:spacing w:after="240"/>
        <w:jc w:val="center"/>
        <w:rPr>
          <w:rFonts w:ascii="Book Antiqua" w:eastAsia="Times New Roman" w:hAnsi="Book Antiqua"/>
          <w:b/>
          <w:bCs/>
          <w:sz w:val="40"/>
          <w:szCs w:val="40"/>
        </w:rPr>
      </w:pPr>
    </w:p>
    <w:p w14:paraId="5EAC1733" w14:textId="77777777" w:rsidR="00BA31AA" w:rsidRDefault="00BA31AA" w:rsidP="00BA31AA">
      <w:pPr>
        <w:spacing w:after="240"/>
        <w:jc w:val="center"/>
        <w:rPr>
          <w:rFonts w:ascii="Book Antiqua" w:eastAsia="Times New Roman" w:hAnsi="Book Antiqua"/>
          <w:b/>
          <w:bCs/>
          <w:sz w:val="40"/>
          <w:szCs w:val="40"/>
        </w:rPr>
      </w:pPr>
    </w:p>
    <w:p w14:paraId="0BFCE76A" w14:textId="77777777" w:rsidR="00BA31AA" w:rsidRDefault="00BA31AA" w:rsidP="00BA31AA">
      <w:pPr>
        <w:spacing w:after="240"/>
        <w:jc w:val="center"/>
        <w:rPr>
          <w:rFonts w:ascii="Book Antiqua" w:eastAsia="Times New Roman" w:hAnsi="Book Antiqua"/>
          <w:b/>
          <w:bCs/>
          <w:sz w:val="40"/>
          <w:szCs w:val="40"/>
        </w:rPr>
      </w:pPr>
    </w:p>
    <w:p w14:paraId="29A44E2E" w14:textId="77777777" w:rsidR="00BA31AA" w:rsidRDefault="00BA31AA" w:rsidP="00BA31AA">
      <w:pPr>
        <w:spacing w:after="240"/>
        <w:jc w:val="center"/>
        <w:rPr>
          <w:rFonts w:ascii="Book Antiqua" w:eastAsia="Times New Roman" w:hAnsi="Book Antiqua"/>
          <w:b/>
          <w:bCs/>
          <w:sz w:val="40"/>
          <w:szCs w:val="40"/>
        </w:rPr>
      </w:pPr>
    </w:p>
    <w:p w14:paraId="0F7E37C7" w14:textId="77777777" w:rsidR="00BA31AA" w:rsidRDefault="00BA31AA" w:rsidP="00BA31AA">
      <w:pPr>
        <w:spacing w:after="240"/>
        <w:jc w:val="center"/>
        <w:rPr>
          <w:rFonts w:ascii="Book Antiqua" w:eastAsia="Times New Roman" w:hAnsi="Book Antiqua"/>
          <w:b/>
          <w:bCs/>
          <w:sz w:val="40"/>
          <w:szCs w:val="40"/>
        </w:rPr>
      </w:pPr>
    </w:p>
    <w:p w14:paraId="6FEC259E" w14:textId="1F5809D7" w:rsidR="00BA31AA" w:rsidRPr="00963EB3" w:rsidRDefault="00BA31AA" w:rsidP="00BA31AA">
      <w:pPr>
        <w:spacing w:after="240"/>
        <w:jc w:val="center"/>
        <w:rPr>
          <w:rFonts w:ascii="Book Antiqua" w:hAnsi="Book Antiqua"/>
          <w:sz w:val="40"/>
          <w:szCs w:val="40"/>
        </w:rPr>
      </w:pPr>
      <w:r w:rsidRPr="00963EB3">
        <w:rPr>
          <w:rFonts w:ascii="Book Antiqua" w:eastAsia="Times New Roman" w:hAnsi="Book Antiqua"/>
          <w:b/>
          <w:bCs/>
          <w:sz w:val="40"/>
          <w:szCs w:val="40"/>
        </w:rPr>
        <w:t>Responses to Reviewers</w:t>
      </w:r>
    </w:p>
    <w:p w14:paraId="516C2472" w14:textId="77777777" w:rsidR="00BA31AA" w:rsidRPr="00963EB3" w:rsidRDefault="00BA31AA" w:rsidP="00BA31AA">
      <w:pPr>
        <w:spacing w:after="120"/>
        <w:jc w:val="center"/>
        <w:rPr>
          <w:rFonts w:ascii="Book Antiqua" w:hAnsi="Book Antiqua"/>
        </w:rPr>
      </w:pPr>
      <w:r w:rsidRPr="00963EB3">
        <w:rPr>
          <w:rFonts w:ascii="Book Antiqua" w:eastAsia="Times New Roman" w:hAnsi="Book Antiqua"/>
          <w:sz w:val="24"/>
          <w:szCs w:val="24"/>
        </w:rPr>
        <w:t>Manuscript ID: PONE-D-26-01398</w:t>
      </w:r>
    </w:p>
    <w:p w14:paraId="3CBF019B" w14:textId="77777777" w:rsidR="00BA31AA" w:rsidRPr="00963EB3" w:rsidRDefault="00BA31AA" w:rsidP="00BA31AA">
      <w:pPr>
        <w:pStyle w:val="FirstParagraph"/>
        <w:adjustRightInd w:val="0"/>
        <w:spacing w:before="0" w:after="0"/>
        <w:jc w:val="center"/>
        <w:rPr>
          <w:rFonts w:ascii="Book Antiqua" w:hAnsi="Book Antiqua" w:cs="Times New Roman"/>
        </w:rPr>
      </w:pPr>
      <w:r w:rsidRPr="00963EB3">
        <w:rPr>
          <w:rFonts w:ascii="Book Antiqua" w:hAnsi="Book Antiqua" w:cs="Times New Roman"/>
        </w:rPr>
        <w:t>“Using a Mixed Opinion Dynamics and Innovation Diffusion Model to Explore the ‘Best Game No One Played’ Phenomenon”</w:t>
      </w:r>
    </w:p>
    <w:p w14:paraId="06AD6922" w14:textId="77777777" w:rsidR="00BA31AA" w:rsidRPr="00963EB3" w:rsidRDefault="00BA31AA" w:rsidP="00BA31AA">
      <w:pPr>
        <w:spacing w:after="120"/>
        <w:jc w:val="center"/>
        <w:rPr>
          <w:rFonts w:ascii="Book Antiqua" w:eastAsia="Times New Roman" w:hAnsi="Book Antiqua"/>
          <w:sz w:val="24"/>
          <w:szCs w:val="24"/>
        </w:rPr>
      </w:pPr>
    </w:p>
    <w:p w14:paraId="45A6FE50" w14:textId="77777777" w:rsidR="00BA31AA" w:rsidRPr="00963EB3" w:rsidRDefault="00BA31AA" w:rsidP="00BA31AA">
      <w:pPr>
        <w:spacing w:after="120"/>
        <w:jc w:val="center"/>
        <w:rPr>
          <w:rFonts w:ascii="Book Antiqua" w:hAnsi="Book Antiqua"/>
        </w:rPr>
      </w:pPr>
      <w:r w:rsidRPr="00963EB3">
        <w:rPr>
          <w:rFonts w:ascii="Book Antiqua" w:eastAsia="Times New Roman" w:hAnsi="Book Antiqua"/>
          <w:sz w:val="24"/>
          <w:szCs w:val="24"/>
        </w:rPr>
        <w:t>Chung-Yuan Huang and Sheng-Wen Wang</w:t>
      </w:r>
    </w:p>
    <w:p w14:paraId="0CE3B713" w14:textId="77777777" w:rsidR="00BA31AA" w:rsidRDefault="00BA31AA">
      <w:pPr>
        <w:widowControl/>
        <w:rPr>
          <w:rFonts w:ascii="Book Antiqua" w:eastAsia="Times New Roman" w:hAnsi="Book Antiqua"/>
          <w:sz w:val="24"/>
          <w:szCs w:val="24"/>
        </w:rPr>
      </w:pPr>
      <w:r>
        <w:rPr>
          <w:rFonts w:ascii="Book Antiqua" w:eastAsia="Times New Roman" w:hAnsi="Book Antiqua"/>
          <w:sz w:val="24"/>
          <w:szCs w:val="24"/>
        </w:rPr>
        <w:br w:type="page"/>
      </w:r>
    </w:p>
    <w:p w14:paraId="5CDC4C4A" w14:textId="77777777" w:rsidR="005A1A8C" w:rsidRDefault="005A1A8C" w:rsidP="008B6082">
      <w:pPr>
        <w:spacing w:afterLines="50" w:after="120" w:line="360" w:lineRule="auto"/>
        <w:ind w:leftChars="200" w:left="440" w:rightChars="200" w:right="440"/>
        <w:rPr>
          <w:rFonts w:ascii="Book Antiqua" w:eastAsia="Times New Roman" w:hAnsi="Book Antiqua"/>
          <w:sz w:val="24"/>
          <w:szCs w:val="24"/>
        </w:rPr>
      </w:pPr>
    </w:p>
    <w:p w14:paraId="64C0A03C" w14:textId="630E065B" w:rsidR="005A1A8C" w:rsidRPr="005A1A8C" w:rsidRDefault="00000000" w:rsidP="008B6082">
      <w:pPr>
        <w:spacing w:afterLines="50" w:after="120" w:line="360" w:lineRule="auto"/>
        <w:ind w:leftChars="200" w:left="44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Dear </w:t>
      </w:r>
      <w:r w:rsidR="000B690A" w:rsidRPr="00963EB3">
        <w:rPr>
          <w:rFonts w:ascii="Book Antiqua" w:eastAsia="Times New Roman" w:hAnsi="Book Antiqua"/>
          <w:sz w:val="24"/>
          <w:szCs w:val="24"/>
        </w:rPr>
        <w:t>Dr.</w:t>
      </w:r>
      <w:r w:rsidRPr="00963EB3">
        <w:rPr>
          <w:rFonts w:ascii="Book Antiqua" w:eastAsia="Times New Roman" w:hAnsi="Book Antiqua"/>
          <w:sz w:val="24"/>
          <w:szCs w:val="24"/>
        </w:rPr>
        <w:t xml:space="preserve"> Malarz,</w:t>
      </w:r>
    </w:p>
    <w:p w14:paraId="369BA0C8" w14:textId="7C460EC4" w:rsidR="007D4A84" w:rsidRPr="00963EB3" w:rsidRDefault="003E6B31" w:rsidP="008B6082">
      <w:pPr>
        <w:spacing w:afterLines="50" w:after="120" w:line="360" w:lineRule="auto"/>
        <w:ind w:leftChars="200" w:left="440" w:rightChars="200" w:right="440" w:firstLineChars="200" w:firstLine="480"/>
        <w:rPr>
          <w:rFonts w:ascii="Book Antiqua" w:hAnsi="Book Antiqua"/>
          <w:sz w:val="24"/>
          <w:szCs w:val="24"/>
        </w:rPr>
      </w:pPr>
      <w:r w:rsidRPr="00963EB3">
        <w:rPr>
          <w:rFonts w:ascii="Book Antiqua" w:eastAsia="Times New Roman" w:hAnsi="Book Antiqua"/>
          <w:sz w:val="24"/>
          <w:szCs w:val="24"/>
        </w:rPr>
        <w:t>Thank you</w:t>
      </w:r>
      <w:r w:rsidR="000B690A" w:rsidRPr="00963EB3">
        <w:rPr>
          <w:rFonts w:ascii="Book Antiqua" w:eastAsia="Times New Roman" w:hAnsi="Book Antiqua"/>
          <w:sz w:val="24"/>
          <w:szCs w:val="24"/>
        </w:rPr>
        <w:t xml:space="preserve"> for</w:t>
      </w:r>
      <w:r w:rsidRPr="00963EB3">
        <w:rPr>
          <w:rFonts w:ascii="Book Antiqua" w:eastAsia="Times New Roman" w:hAnsi="Book Antiqua"/>
          <w:sz w:val="24"/>
          <w:szCs w:val="24"/>
        </w:rPr>
        <w:t xml:space="preserve"> </w:t>
      </w:r>
      <w:r w:rsidR="000B690A" w:rsidRPr="00963EB3">
        <w:rPr>
          <w:rFonts w:ascii="Book Antiqua" w:eastAsia="Times New Roman" w:hAnsi="Book Antiqua"/>
          <w:sz w:val="24"/>
          <w:szCs w:val="24"/>
        </w:rPr>
        <w:t>work</w:t>
      </w:r>
      <w:r w:rsidRPr="00963EB3">
        <w:rPr>
          <w:rFonts w:ascii="Book Antiqua" w:eastAsia="Times New Roman" w:hAnsi="Book Antiqua"/>
          <w:sz w:val="24"/>
          <w:szCs w:val="24"/>
        </w:rPr>
        <w:t xml:space="preserve">ing </w:t>
      </w:r>
      <w:r w:rsidR="000B690A" w:rsidRPr="00963EB3">
        <w:rPr>
          <w:rFonts w:ascii="Book Antiqua" w:eastAsia="Times New Roman" w:hAnsi="Book Antiqua"/>
          <w:sz w:val="24"/>
          <w:szCs w:val="24"/>
        </w:rPr>
        <w:t xml:space="preserve">with </w:t>
      </w:r>
      <w:r w:rsidRPr="00963EB3">
        <w:rPr>
          <w:rFonts w:ascii="Book Antiqua" w:eastAsia="Times New Roman" w:hAnsi="Book Antiqua"/>
          <w:sz w:val="24"/>
          <w:szCs w:val="24"/>
        </w:rPr>
        <w:t xml:space="preserve">our manuscript and </w:t>
      </w:r>
      <w:r w:rsidR="000B690A" w:rsidRPr="00963EB3">
        <w:rPr>
          <w:rFonts w:ascii="Book Antiqua" w:eastAsia="Times New Roman" w:hAnsi="Book Antiqua"/>
          <w:sz w:val="24"/>
          <w:szCs w:val="24"/>
        </w:rPr>
        <w:t>your offer</w:t>
      </w:r>
      <w:r w:rsidRPr="00963EB3">
        <w:rPr>
          <w:rFonts w:ascii="Book Antiqua" w:eastAsia="Times New Roman" w:hAnsi="Book Antiqua"/>
          <w:sz w:val="24"/>
          <w:szCs w:val="24"/>
        </w:rPr>
        <w:t xml:space="preserve"> </w:t>
      </w:r>
      <w:r w:rsidR="00C96474" w:rsidRPr="00963EB3">
        <w:rPr>
          <w:rFonts w:ascii="Book Antiqua" w:eastAsia="Times New Roman" w:hAnsi="Book Antiqua"/>
          <w:sz w:val="24"/>
          <w:szCs w:val="24"/>
        </w:rPr>
        <w:t xml:space="preserve">for us </w:t>
      </w:r>
      <w:r w:rsidRPr="00963EB3">
        <w:rPr>
          <w:rFonts w:ascii="Book Antiqua" w:eastAsia="Times New Roman" w:hAnsi="Book Antiqua"/>
          <w:sz w:val="24"/>
          <w:szCs w:val="24"/>
        </w:rPr>
        <w:t>to revise and resubmit</w:t>
      </w:r>
      <w:r w:rsidR="00C96474" w:rsidRPr="00963EB3">
        <w:rPr>
          <w:rFonts w:ascii="Book Antiqua" w:eastAsia="Times New Roman" w:hAnsi="Book Antiqua"/>
          <w:sz w:val="24"/>
          <w:szCs w:val="24"/>
        </w:rPr>
        <w:t>. T</w:t>
      </w:r>
      <w:r w:rsidRPr="00963EB3">
        <w:rPr>
          <w:rFonts w:ascii="Book Antiqua" w:eastAsia="Times New Roman" w:hAnsi="Book Antiqua"/>
          <w:sz w:val="24"/>
          <w:szCs w:val="24"/>
        </w:rPr>
        <w:t xml:space="preserve">hanks </w:t>
      </w:r>
      <w:r w:rsidR="00C96474" w:rsidRPr="00963EB3">
        <w:rPr>
          <w:rFonts w:ascii="Book Antiqua" w:eastAsia="Times New Roman" w:hAnsi="Book Antiqua"/>
          <w:sz w:val="24"/>
          <w:szCs w:val="24"/>
        </w:rPr>
        <w:t xml:space="preserve">also </w:t>
      </w:r>
      <w:r w:rsidRPr="00963EB3">
        <w:rPr>
          <w:rFonts w:ascii="Book Antiqua" w:eastAsia="Times New Roman" w:hAnsi="Book Antiqua"/>
          <w:sz w:val="24"/>
          <w:szCs w:val="24"/>
        </w:rPr>
        <w:t>to both reviewers for their constructive evaluations</w:t>
      </w:r>
      <w:r w:rsidR="000B690A" w:rsidRPr="00963EB3">
        <w:rPr>
          <w:rFonts w:ascii="Book Antiqua" w:eastAsia="Times New Roman" w:hAnsi="Book Antiqua"/>
          <w:sz w:val="24"/>
          <w:szCs w:val="24"/>
        </w:rPr>
        <w:t xml:space="preserve"> and feedback</w:t>
      </w:r>
      <w:r w:rsidRPr="00963EB3">
        <w:rPr>
          <w:rFonts w:ascii="Book Antiqua" w:eastAsia="Times New Roman" w:hAnsi="Book Antiqua"/>
          <w:sz w:val="24"/>
          <w:szCs w:val="24"/>
        </w:rPr>
        <w:t>.</w:t>
      </w:r>
      <w:r w:rsidR="007D4A84" w:rsidRPr="00963EB3">
        <w:rPr>
          <w:rFonts w:ascii="Book Antiqua" w:eastAsia="Times New Roman" w:hAnsi="Book Antiqua"/>
          <w:sz w:val="24"/>
          <w:szCs w:val="24"/>
        </w:rPr>
        <w:t xml:space="preserve"> </w:t>
      </w:r>
      <w:r w:rsidR="00C96474" w:rsidRPr="00963EB3">
        <w:rPr>
          <w:rFonts w:ascii="Book Antiqua" w:eastAsia="Times New Roman" w:hAnsi="Book Antiqua"/>
          <w:sz w:val="24"/>
          <w:szCs w:val="24"/>
        </w:rPr>
        <w:t>A list of</w:t>
      </w:r>
      <w:r w:rsidR="007D4A84" w:rsidRPr="00963EB3">
        <w:rPr>
          <w:rFonts w:ascii="Book Antiqua" w:eastAsia="Times New Roman" w:hAnsi="Book Antiqua"/>
          <w:sz w:val="24"/>
          <w:szCs w:val="24"/>
        </w:rPr>
        <w:t xml:space="preserve"> the ten most important</w:t>
      </w:r>
      <w:r w:rsidRPr="00963EB3">
        <w:rPr>
          <w:rFonts w:ascii="Book Antiqua" w:eastAsia="Times New Roman" w:hAnsi="Book Antiqua"/>
          <w:sz w:val="24"/>
          <w:szCs w:val="24"/>
        </w:rPr>
        <w:t xml:space="preserve"> changes</w:t>
      </w:r>
      <w:r w:rsidR="007D4A84" w:rsidRPr="00963EB3">
        <w:rPr>
          <w:rFonts w:ascii="Book Antiqua" w:eastAsia="Times New Roman" w:hAnsi="Book Antiqua"/>
          <w:sz w:val="24"/>
          <w:szCs w:val="24"/>
        </w:rPr>
        <w:t xml:space="preserve"> made to our original manuscript</w:t>
      </w:r>
      <w:r w:rsidR="00C96474" w:rsidRPr="00963EB3">
        <w:rPr>
          <w:rFonts w:ascii="Book Antiqua" w:eastAsia="Times New Roman" w:hAnsi="Book Antiqua"/>
          <w:sz w:val="24"/>
          <w:szCs w:val="24"/>
        </w:rPr>
        <w:t xml:space="preserve"> would include:</w:t>
      </w:r>
    </w:p>
    <w:p w14:paraId="4D23BBA9" w14:textId="615695DA" w:rsidR="007D4A84" w:rsidRPr="00963EB3" w:rsidRDefault="00000000" w:rsidP="008B6082">
      <w:pPr>
        <w:pStyle w:val="a4"/>
        <w:numPr>
          <w:ilvl w:val="0"/>
          <w:numId w:val="8"/>
        </w:numPr>
        <w:spacing w:afterLines="50" w:after="120" w:line="360" w:lineRule="auto"/>
        <w:ind w:leftChars="200" w:left="80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a revised theoretical framework that explains </w:t>
      </w:r>
      <w:r w:rsidR="008274F5" w:rsidRPr="00963EB3">
        <w:rPr>
          <w:rFonts w:ascii="Book Antiqua" w:eastAsia="Times New Roman" w:hAnsi="Book Antiqua"/>
          <w:sz w:val="24"/>
          <w:szCs w:val="24"/>
        </w:rPr>
        <w:t>our decision to</w:t>
      </w:r>
      <w:r w:rsidRPr="00963EB3">
        <w:rPr>
          <w:rFonts w:ascii="Book Antiqua" w:eastAsia="Times New Roman" w:hAnsi="Book Antiqua"/>
          <w:sz w:val="24"/>
          <w:szCs w:val="24"/>
        </w:rPr>
        <w:t xml:space="preserve"> integrate bounded confidence opinion dynamics with adoption thresholds, and how the model </w:t>
      </w:r>
      <w:r w:rsidR="008274F5" w:rsidRPr="00963EB3">
        <w:rPr>
          <w:rFonts w:ascii="Book Antiqua" w:eastAsia="Times New Roman" w:hAnsi="Book Antiqua"/>
          <w:sz w:val="24"/>
          <w:szCs w:val="24"/>
        </w:rPr>
        <w:t>fits with</w:t>
      </w:r>
      <w:r w:rsidRPr="00963EB3">
        <w:rPr>
          <w:rFonts w:ascii="Book Antiqua" w:eastAsia="Times New Roman" w:hAnsi="Book Antiqua"/>
          <w:sz w:val="24"/>
          <w:szCs w:val="24"/>
        </w:rPr>
        <w:t xml:space="preserve"> th</w:t>
      </w:r>
      <w:r w:rsidR="00BB394A" w:rsidRPr="00963EB3">
        <w:rPr>
          <w:rFonts w:ascii="Book Antiqua" w:eastAsia="Times New Roman" w:hAnsi="Book Antiqua"/>
          <w:sz w:val="24"/>
          <w:szCs w:val="24"/>
        </w:rPr>
        <w:t>e</w:t>
      </w:r>
      <w:r w:rsidRPr="00963EB3">
        <w:rPr>
          <w:rFonts w:ascii="Book Antiqua" w:eastAsia="Times New Roman" w:hAnsi="Book Antiqua"/>
          <w:sz w:val="24"/>
          <w:szCs w:val="24"/>
        </w:rPr>
        <w:t xml:space="preserve"> Hegselmann–Krause and Deffuant </w:t>
      </w:r>
      <w:r w:rsidR="00BB394A" w:rsidRPr="00963EB3">
        <w:rPr>
          <w:rFonts w:ascii="Book Antiqua" w:eastAsia="Times New Roman" w:hAnsi="Book Antiqua"/>
          <w:sz w:val="24"/>
          <w:szCs w:val="24"/>
        </w:rPr>
        <w:t>models</w:t>
      </w:r>
      <w:r w:rsidRPr="00963EB3">
        <w:rPr>
          <w:rFonts w:ascii="Book Antiqua" w:eastAsia="Times New Roman" w:hAnsi="Book Antiqua"/>
          <w:sz w:val="24"/>
          <w:szCs w:val="24"/>
        </w:rPr>
        <w:t xml:space="preserve">; </w:t>
      </w:r>
    </w:p>
    <w:p w14:paraId="28728708" w14:textId="2646DFB3" w:rsidR="007D4A84" w:rsidRPr="00963EB3" w:rsidRDefault="00000000" w:rsidP="008B6082">
      <w:pPr>
        <w:pStyle w:val="a4"/>
        <w:numPr>
          <w:ilvl w:val="0"/>
          <w:numId w:val="8"/>
        </w:numPr>
        <w:spacing w:afterLines="50" w:after="120" w:line="360" w:lineRule="auto"/>
        <w:ind w:leftChars="200" w:left="80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new controlled experiments </w:t>
      </w:r>
      <w:r w:rsidR="008274F5" w:rsidRPr="00963EB3">
        <w:rPr>
          <w:rFonts w:ascii="Book Antiqua" w:eastAsia="Times New Roman" w:hAnsi="Book Antiqua"/>
          <w:sz w:val="24"/>
          <w:szCs w:val="24"/>
        </w:rPr>
        <w:t xml:space="preserve">aimed </w:t>
      </w:r>
      <w:r w:rsidRPr="00963EB3">
        <w:rPr>
          <w:rFonts w:ascii="Book Antiqua" w:eastAsia="Times New Roman" w:hAnsi="Book Antiqua"/>
          <w:sz w:val="24"/>
          <w:szCs w:val="24"/>
        </w:rPr>
        <w:t xml:space="preserve">at </w:t>
      </w:r>
      <w:r w:rsidR="008274F5" w:rsidRPr="00963EB3">
        <w:rPr>
          <w:rFonts w:ascii="Book Antiqua" w:eastAsia="Times New Roman" w:hAnsi="Book Antiqua"/>
          <w:sz w:val="24"/>
          <w:szCs w:val="24"/>
        </w:rPr>
        <w:t>distinguishing</w:t>
      </w:r>
      <w:r w:rsidRPr="00963EB3">
        <w:rPr>
          <w:rFonts w:ascii="Book Antiqua" w:eastAsia="Times New Roman" w:hAnsi="Book Antiqua"/>
          <w:sz w:val="24"/>
          <w:szCs w:val="24"/>
        </w:rPr>
        <w:t xml:space="preserve"> the coordination failure channel from the opinion clustering channel; </w:t>
      </w:r>
    </w:p>
    <w:p w14:paraId="43A99901" w14:textId="51BFAC54" w:rsidR="007D4A84" w:rsidRPr="00963EB3" w:rsidRDefault="00000000" w:rsidP="008B6082">
      <w:pPr>
        <w:pStyle w:val="a4"/>
        <w:numPr>
          <w:ilvl w:val="0"/>
          <w:numId w:val="8"/>
        </w:numPr>
        <w:spacing w:afterLines="50" w:after="120" w:line="360" w:lineRule="auto"/>
        <w:ind w:leftChars="200" w:left="80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finite-size scaling experiments at N = 900, N = 1,600 and N = 2,500 to confirm robustness; </w:t>
      </w:r>
    </w:p>
    <w:p w14:paraId="090DCE58" w14:textId="3FB44DC2" w:rsidR="007D4A84" w:rsidRPr="00963EB3" w:rsidRDefault="00000000" w:rsidP="008B6082">
      <w:pPr>
        <w:pStyle w:val="a4"/>
        <w:numPr>
          <w:ilvl w:val="0"/>
          <w:numId w:val="8"/>
        </w:numPr>
        <w:spacing w:afterLines="50" w:after="120" w:line="360" w:lineRule="auto"/>
        <w:ind w:leftChars="200" w:left="80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a new discussion section comparing BCAT with alternative frameworks, including information cascades, network externalities, and global games; </w:t>
      </w:r>
    </w:p>
    <w:p w14:paraId="5B7668D7" w14:textId="460E0541" w:rsidR="007D4A84" w:rsidRPr="00963EB3" w:rsidRDefault="00000000" w:rsidP="008B6082">
      <w:pPr>
        <w:pStyle w:val="a4"/>
        <w:numPr>
          <w:ilvl w:val="0"/>
          <w:numId w:val="8"/>
        </w:numPr>
        <w:spacing w:afterLines="50" w:after="120" w:line="360" w:lineRule="auto"/>
        <w:ind w:leftChars="200" w:left="80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corrected and expanded statistical reporting in Table 3 </w:t>
      </w:r>
      <w:r w:rsidR="00BB394A" w:rsidRPr="00963EB3">
        <w:rPr>
          <w:rFonts w:ascii="Book Antiqua" w:eastAsia="Times New Roman" w:hAnsi="Book Antiqua"/>
          <w:sz w:val="24"/>
          <w:szCs w:val="24"/>
        </w:rPr>
        <w:t>(</w:t>
      </w:r>
      <w:r w:rsidRPr="00963EB3">
        <w:rPr>
          <w:rFonts w:ascii="Book Antiqua" w:eastAsia="Times New Roman" w:hAnsi="Book Antiqua"/>
          <w:sz w:val="24"/>
          <w:szCs w:val="24"/>
        </w:rPr>
        <w:t>algorithm identification, standard errors, and verified data alignment</w:t>
      </w:r>
      <w:r w:rsidR="00BB394A" w:rsidRPr="00963EB3">
        <w:rPr>
          <w:rFonts w:ascii="Book Antiqua" w:eastAsia="Times New Roman" w:hAnsi="Book Antiqua"/>
          <w:sz w:val="24"/>
          <w:szCs w:val="24"/>
        </w:rPr>
        <w:t>)</w:t>
      </w:r>
      <w:r w:rsidRPr="00963EB3">
        <w:rPr>
          <w:rFonts w:ascii="Book Antiqua" w:eastAsia="Times New Roman" w:hAnsi="Book Antiqua"/>
          <w:sz w:val="24"/>
          <w:szCs w:val="24"/>
        </w:rPr>
        <w:t xml:space="preserve">; </w:t>
      </w:r>
    </w:p>
    <w:p w14:paraId="26AC21B1" w14:textId="0F9149A1" w:rsidR="007D4A84" w:rsidRPr="00963EB3" w:rsidRDefault="00000000" w:rsidP="008B6082">
      <w:pPr>
        <w:pStyle w:val="a4"/>
        <w:numPr>
          <w:ilvl w:val="0"/>
          <w:numId w:val="8"/>
        </w:numPr>
        <w:spacing w:afterLines="50" w:after="120" w:line="360" w:lineRule="auto"/>
        <w:ind w:leftChars="200" w:left="80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an operational definition </w:t>
      </w:r>
      <w:r w:rsidR="00BB394A" w:rsidRPr="00963EB3">
        <w:rPr>
          <w:rFonts w:ascii="Book Antiqua" w:eastAsia="Times New Roman" w:hAnsi="Book Antiqua"/>
          <w:sz w:val="24"/>
          <w:szCs w:val="24"/>
        </w:rPr>
        <w:t>for</w:t>
      </w:r>
      <w:r w:rsidRPr="00963EB3">
        <w:rPr>
          <w:rFonts w:ascii="Book Antiqua" w:eastAsia="Times New Roman" w:hAnsi="Book Antiqua"/>
          <w:sz w:val="24"/>
          <w:szCs w:val="24"/>
        </w:rPr>
        <w:t xml:space="preserve"> the critical point within the BCAT framework; </w:t>
      </w:r>
    </w:p>
    <w:p w14:paraId="44AEAEBD" w14:textId="52D7E23B" w:rsidR="007D4A84" w:rsidRPr="00963EB3" w:rsidRDefault="00000000" w:rsidP="008B6082">
      <w:pPr>
        <w:pStyle w:val="a4"/>
        <w:numPr>
          <w:ilvl w:val="0"/>
          <w:numId w:val="8"/>
        </w:numPr>
        <w:spacing w:afterLines="50" w:after="120" w:line="360" w:lineRule="auto"/>
        <w:ind w:leftChars="200" w:left="80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new </w:t>
      </w:r>
      <w:r w:rsidR="00BB394A" w:rsidRPr="00963EB3">
        <w:rPr>
          <w:rFonts w:ascii="Book Antiqua" w:eastAsia="Times New Roman" w:hAnsi="Book Antiqua"/>
          <w:sz w:val="24"/>
          <w:szCs w:val="24"/>
        </w:rPr>
        <w:t xml:space="preserve">replacement </w:t>
      </w:r>
      <w:r w:rsidRPr="00963EB3">
        <w:rPr>
          <w:rFonts w:ascii="Book Antiqua" w:eastAsia="Times New Roman" w:hAnsi="Book Antiqua"/>
          <w:sz w:val="24"/>
          <w:szCs w:val="24"/>
        </w:rPr>
        <w:t xml:space="preserve">figures </w:t>
      </w:r>
      <w:r w:rsidR="00BB394A" w:rsidRPr="00963EB3">
        <w:rPr>
          <w:rFonts w:ascii="Book Antiqua" w:eastAsia="Times New Roman" w:hAnsi="Book Antiqua"/>
          <w:sz w:val="24"/>
          <w:szCs w:val="24"/>
        </w:rPr>
        <w:t>for</w:t>
      </w:r>
      <w:r w:rsidRPr="00963EB3">
        <w:rPr>
          <w:rFonts w:ascii="Book Antiqua" w:eastAsia="Times New Roman" w:hAnsi="Book Antiqua"/>
          <w:sz w:val="24"/>
          <w:szCs w:val="24"/>
        </w:rPr>
        <w:t xml:space="preserve"> NetLogo GUI screenshots with author-generated visualizations; </w:t>
      </w:r>
    </w:p>
    <w:p w14:paraId="123389A6" w14:textId="46C47F70" w:rsidR="007D4A84" w:rsidRPr="00963EB3" w:rsidRDefault="00000000" w:rsidP="008B6082">
      <w:pPr>
        <w:pStyle w:val="a4"/>
        <w:numPr>
          <w:ilvl w:val="0"/>
          <w:numId w:val="8"/>
        </w:numPr>
        <w:spacing w:afterLines="50" w:after="120" w:line="360" w:lineRule="auto"/>
        <w:ind w:leftChars="200" w:left="80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PLOS LaTeX template </w:t>
      </w:r>
      <w:r w:rsidR="00BB394A" w:rsidRPr="00963EB3">
        <w:rPr>
          <w:rFonts w:ascii="Book Antiqua" w:eastAsia="Times New Roman" w:hAnsi="Book Antiqua"/>
          <w:sz w:val="24"/>
          <w:szCs w:val="24"/>
        </w:rPr>
        <w:t xml:space="preserve">conversion </w:t>
      </w:r>
      <w:r w:rsidRPr="00963EB3">
        <w:rPr>
          <w:rFonts w:ascii="Book Antiqua" w:eastAsia="Times New Roman" w:hAnsi="Book Antiqua"/>
          <w:sz w:val="24"/>
          <w:szCs w:val="24"/>
        </w:rPr>
        <w:t xml:space="preserve">with public code and data repositories; </w:t>
      </w:r>
    </w:p>
    <w:p w14:paraId="5D083012" w14:textId="2447B9F0" w:rsidR="007D4A84" w:rsidRPr="00963EB3" w:rsidRDefault="00BB394A" w:rsidP="008B6082">
      <w:pPr>
        <w:pStyle w:val="a4"/>
        <w:numPr>
          <w:ilvl w:val="0"/>
          <w:numId w:val="8"/>
        </w:numPr>
        <w:spacing w:afterLines="50" w:after="120" w:line="360" w:lineRule="auto"/>
        <w:ind w:leftChars="200" w:left="80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an expanded Discussion section that adds detail (specific model parameters and simulation figures) for the three motivating cases (the Palm handheld device, the Taiwanese film </w:t>
      </w:r>
      <w:r w:rsidRPr="00963EB3">
        <w:rPr>
          <w:rFonts w:ascii="Book Antiqua" w:eastAsia="Times New Roman" w:hAnsi="Book Antiqua"/>
          <w:i/>
          <w:iCs/>
          <w:sz w:val="24"/>
          <w:szCs w:val="24"/>
        </w:rPr>
        <w:t>The Bold, The Corrupt and The Beautiful</w:t>
      </w:r>
      <w:r w:rsidRPr="00963EB3">
        <w:rPr>
          <w:rFonts w:ascii="Book Antiqua" w:eastAsia="Times New Roman" w:hAnsi="Book Antiqua"/>
          <w:sz w:val="24"/>
          <w:szCs w:val="24"/>
        </w:rPr>
        <w:t>, and service-oriented architecture</w:t>
      </w:r>
      <w:r w:rsidR="009527E9" w:rsidRPr="00963EB3">
        <w:rPr>
          <w:rFonts w:ascii="Book Antiqua" w:eastAsia="Times New Roman" w:hAnsi="Book Antiqua"/>
          <w:sz w:val="24"/>
          <w:szCs w:val="24"/>
        </w:rPr>
        <w:t xml:space="preserve"> [SOA])</w:t>
      </w:r>
      <w:r w:rsidRPr="00963EB3">
        <w:rPr>
          <w:rFonts w:ascii="Book Antiqua" w:eastAsia="Times New Roman" w:hAnsi="Book Antiqua"/>
          <w:sz w:val="24"/>
          <w:szCs w:val="24"/>
        </w:rPr>
        <w:t xml:space="preserve">; </w:t>
      </w:r>
    </w:p>
    <w:p w14:paraId="713D2ED0" w14:textId="77EDEEAB" w:rsidR="005150AD" w:rsidRPr="00963EB3" w:rsidRDefault="003E6B31" w:rsidP="008B6082">
      <w:pPr>
        <w:pStyle w:val="a4"/>
        <w:numPr>
          <w:ilvl w:val="0"/>
          <w:numId w:val="8"/>
        </w:numPr>
        <w:spacing w:afterLines="50" w:after="120" w:line="360" w:lineRule="auto"/>
        <w:ind w:leftChars="200" w:left="800" w:rightChars="200" w:right="440"/>
        <w:rPr>
          <w:rFonts w:ascii="Book Antiqua" w:hAnsi="Book Antiqua"/>
          <w:sz w:val="24"/>
          <w:szCs w:val="24"/>
        </w:rPr>
      </w:pPr>
      <w:r w:rsidRPr="00963EB3">
        <w:rPr>
          <w:rFonts w:ascii="Book Antiqua" w:eastAsia="Times New Roman" w:hAnsi="Book Antiqua"/>
          <w:sz w:val="24"/>
          <w:szCs w:val="24"/>
        </w:rPr>
        <w:t>a comparison of voter models with inertia and SIS/SIR epidemic frameworks to clarify BCAT’s unique two-channel structure.</w:t>
      </w:r>
    </w:p>
    <w:p w14:paraId="5339DF11" w14:textId="6744EB5B" w:rsidR="005150AD" w:rsidRPr="00963EB3" w:rsidRDefault="00000000" w:rsidP="008B6082">
      <w:pPr>
        <w:spacing w:afterLines="50" w:after="120" w:line="360" w:lineRule="auto"/>
        <w:ind w:leftChars="200" w:left="440" w:rightChars="200" w:right="440" w:firstLineChars="200" w:firstLine="480"/>
        <w:rPr>
          <w:rFonts w:ascii="Book Antiqua" w:hAnsi="Book Antiqua"/>
          <w:sz w:val="24"/>
          <w:szCs w:val="24"/>
        </w:rPr>
      </w:pPr>
      <w:r w:rsidRPr="00963EB3">
        <w:rPr>
          <w:rFonts w:ascii="Book Antiqua" w:eastAsia="Times New Roman" w:hAnsi="Book Antiqua"/>
          <w:sz w:val="24"/>
          <w:szCs w:val="24"/>
        </w:rPr>
        <w:t>Below</w:t>
      </w:r>
      <w:r w:rsidR="003E6B31" w:rsidRPr="00963EB3">
        <w:rPr>
          <w:rFonts w:ascii="Book Antiqua" w:eastAsia="Times New Roman" w:hAnsi="Book Antiqua"/>
          <w:sz w:val="24"/>
          <w:szCs w:val="24"/>
        </w:rPr>
        <w:t xml:space="preserve"> </w:t>
      </w:r>
      <w:r w:rsidR="009527E9" w:rsidRPr="00963EB3">
        <w:rPr>
          <w:rFonts w:ascii="Book Antiqua" w:eastAsia="Times New Roman" w:hAnsi="Book Antiqua"/>
          <w:sz w:val="24"/>
          <w:szCs w:val="24"/>
        </w:rPr>
        <w:t>please find</w:t>
      </w:r>
      <w:r w:rsidRPr="00963EB3">
        <w:rPr>
          <w:rFonts w:ascii="Book Antiqua" w:eastAsia="Times New Roman" w:hAnsi="Book Antiqua"/>
          <w:sz w:val="24"/>
          <w:szCs w:val="24"/>
        </w:rPr>
        <w:t xml:space="preserve"> point-by-point response</w:t>
      </w:r>
      <w:r w:rsidR="003E6B31" w:rsidRPr="00963EB3">
        <w:rPr>
          <w:rFonts w:ascii="Book Antiqua" w:eastAsia="Times New Roman" w:hAnsi="Book Antiqua"/>
          <w:sz w:val="24"/>
          <w:szCs w:val="24"/>
        </w:rPr>
        <w:t>s</w:t>
      </w:r>
      <w:r w:rsidRPr="00963EB3">
        <w:rPr>
          <w:rFonts w:ascii="Book Antiqua" w:eastAsia="Times New Roman" w:hAnsi="Book Antiqua"/>
          <w:sz w:val="24"/>
          <w:szCs w:val="24"/>
        </w:rPr>
        <w:t xml:space="preserve"> to all reviewer comments. </w:t>
      </w:r>
      <w:r w:rsidR="009527E9" w:rsidRPr="00963EB3">
        <w:rPr>
          <w:rFonts w:ascii="Book Antiqua" w:eastAsia="Times New Roman" w:hAnsi="Book Antiqua"/>
          <w:sz w:val="24"/>
          <w:szCs w:val="24"/>
        </w:rPr>
        <w:t>Should you have any other concerns or questions, please do not hesitate to contact us.</w:t>
      </w:r>
    </w:p>
    <w:p w14:paraId="44CD2181" w14:textId="77777777" w:rsidR="005A1A8C" w:rsidRDefault="005A1A8C" w:rsidP="008B6082">
      <w:pPr>
        <w:spacing w:afterLines="50" w:after="120" w:line="360" w:lineRule="auto"/>
        <w:ind w:leftChars="200" w:left="440" w:rightChars="200" w:right="440"/>
        <w:rPr>
          <w:rFonts w:ascii="Book Antiqua" w:eastAsia="Times New Roman" w:hAnsi="Book Antiqua"/>
          <w:sz w:val="24"/>
          <w:szCs w:val="24"/>
        </w:rPr>
      </w:pPr>
    </w:p>
    <w:p w14:paraId="6E2F729A" w14:textId="0A67A261" w:rsidR="005150AD" w:rsidRPr="00963EB3" w:rsidRDefault="00000000" w:rsidP="008B6082">
      <w:pPr>
        <w:spacing w:afterLines="50" w:after="120" w:line="360" w:lineRule="auto"/>
        <w:ind w:leftChars="200" w:left="440" w:rightChars="200" w:right="440"/>
        <w:rPr>
          <w:rFonts w:ascii="Book Antiqua" w:hAnsi="Book Antiqua"/>
          <w:sz w:val="24"/>
          <w:szCs w:val="24"/>
        </w:rPr>
      </w:pPr>
      <w:r w:rsidRPr="00963EB3">
        <w:rPr>
          <w:rFonts w:ascii="Book Antiqua" w:eastAsia="Times New Roman" w:hAnsi="Book Antiqua"/>
          <w:sz w:val="24"/>
          <w:szCs w:val="24"/>
        </w:rPr>
        <w:t>Sincerely,</w:t>
      </w:r>
    </w:p>
    <w:p w14:paraId="51C50DD0" w14:textId="77777777" w:rsidR="005A1A8C" w:rsidRDefault="005A1A8C" w:rsidP="008B6082">
      <w:pPr>
        <w:spacing w:afterLines="50" w:after="120" w:line="360" w:lineRule="auto"/>
        <w:ind w:leftChars="200" w:left="440" w:rightChars="200" w:right="440"/>
        <w:jc w:val="right"/>
        <w:rPr>
          <w:rFonts w:ascii="Book Antiqua" w:eastAsia="Times New Roman" w:hAnsi="Book Antiqua"/>
          <w:i/>
          <w:iCs/>
          <w:sz w:val="24"/>
          <w:szCs w:val="24"/>
          <w:u w:val="single"/>
        </w:rPr>
      </w:pPr>
    </w:p>
    <w:p w14:paraId="6AC6E72B" w14:textId="4CD002F3" w:rsidR="005150AD" w:rsidRPr="00963EB3" w:rsidRDefault="00000000" w:rsidP="008B6082">
      <w:pPr>
        <w:spacing w:afterLines="50" w:after="120" w:line="360" w:lineRule="auto"/>
        <w:ind w:leftChars="200" w:left="440" w:rightChars="200" w:right="440"/>
        <w:jc w:val="right"/>
        <w:rPr>
          <w:rFonts w:ascii="Book Antiqua" w:hAnsi="Book Antiqua"/>
        </w:rPr>
      </w:pPr>
      <w:r w:rsidRPr="00BA31AA">
        <w:rPr>
          <w:rFonts w:ascii="Book Antiqua" w:eastAsia="Times New Roman" w:hAnsi="Book Antiqua"/>
          <w:i/>
          <w:iCs/>
          <w:sz w:val="24"/>
          <w:szCs w:val="24"/>
          <w:u w:val="single"/>
        </w:rPr>
        <w:t>Chung-Yuan Huang and Sheng-Wen Wang</w:t>
      </w:r>
      <w:r w:rsidRPr="00963EB3">
        <w:rPr>
          <w:rFonts w:ascii="Book Antiqua" w:hAnsi="Book Antiqua"/>
        </w:rPr>
        <w:br w:type="page"/>
      </w:r>
    </w:p>
    <w:p w14:paraId="20D46D52" w14:textId="77777777" w:rsidR="00904E86" w:rsidRPr="00000A74" w:rsidRDefault="00000000" w:rsidP="00AB242D">
      <w:pPr>
        <w:pStyle w:val="1"/>
        <w:spacing w:before="0" w:afterLines="50" w:after="120"/>
        <w:jc w:val="center"/>
        <w:rPr>
          <w:rFonts w:ascii="Book Antiqua" w:hAnsi="Book Antiqua"/>
          <w:sz w:val="40"/>
          <w:szCs w:val="40"/>
        </w:rPr>
      </w:pPr>
      <w:r w:rsidRPr="00000A74">
        <w:rPr>
          <w:rFonts w:ascii="Book Antiqua" w:hAnsi="Book Antiqua"/>
          <w:sz w:val="40"/>
          <w:szCs w:val="40"/>
        </w:rPr>
        <w:lastRenderedPageBreak/>
        <w:t>Part I: Journal Requirements</w:t>
      </w:r>
    </w:p>
    <w:p w14:paraId="4ED6F1F4" w14:textId="16E33B29" w:rsidR="005150AD" w:rsidRPr="00963EB3" w:rsidRDefault="008A71A0" w:rsidP="008251D8">
      <w:pPr>
        <w:pStyle w:val="1"/>
        <w:numPr>
          <w:ilvl w:val="0"/>
          <w:numId w:val="7"/>
        </w:numPr>
        <w:spacing w:before="0" w:afterLines="50" w:after="120" w:line="360" w:lineRule="auto"/>
        <w:ind w:left="357" w:hanging="357"/>
        <w:rPr>
          <w:rFonts w:ascii="Book Antiqua" w:hAnsi="Book Antiqua"/>
          <w:b w:val="0"/>
          <w:bCs w:val="0"/>
          <w:sz w:val="24"/>
          <w:szCs w:val="24"/>
        </w:rPr>
      </w:pPr>
      <w:r w:rsidRPr="00963EB3">
        <w:rPr>
          <w:rFonts w:ascii="Book Antiqua" w:hAnsi="Book Antiqua"/>
          <w:b w:val="0"/>
          <w:bCs w:val="0"/>
          <w:color w:val="404040"/>
          <w:sz w:val="24"/>
          <w:szCs w:val="24"/>
        </w:rPr>
        <w:t xml:space="preserve">Please ensure that your manuscript meets PLOS ONE's style requirements, including those for file naming. </w:t>
      </w:r>
    </w:p>
    <w:p w14:paraId="08270F0C" w14:textId="77777777" w:rsidR="00451EC7" w:rsidRPr="00080047" w:rsidRDefault="00451EC7" w:rsidP="008251D8">
      <w:pPr>
        <w:pStyle w:val="2"/>
        <w:spacing w:before="0" w:afterLines="50" w:after="120" w:line="360" w:lineRule="auto"/>
        <w:rPr>
          <w:rFonts w:ascii="Book Antiqua" w:hAnsi="Book Antiqua"/>
          <w:color w:val="C00000"/>
        </w:rPr>
      </w:pPr>
      <w:r w:rsidRPr="00080047">
        <w:rPr>
          <w:rFonts w:ascii="Book Antiqua" w:hAnsi="Book Antiqua"/>
          <w:color w:val="C00000"/>
        </w:rPr>
        <w:t xml:space="preserve">Response: </w:t>
      </w:r>
    </w:p>
    <w:p w14:paraId="6FA9D54F" w14:textId="5C1ADAF4" w:rsidR="003E0F2E" w:rsidRPr="00963EB3" w:rsidRDefault="009527E9" w:rsidP="00ED5C72">
      <w:pPr>
        <w:spacing w:afterLines="50" w:after="120" w:line="360" w:lineRule="auto"/>
        <w:rPr>
          <w:rFonts w:ascii="Book Antiqua" w:eastAsia="Times New Roman" w:hAnsi="Book Antiqua"/>
          <w:color w:val="0070C0"/>
          <w:sz w:val="24"/>
          <w:szCs w:val="24"/>
        </w:rPr>
      </w:pPr>
      <w:r w:rsidRPr="00963EB3">
        <w:rPr>
          <w:rFonts w:ascii="Book Antiqua" w:eastAsia="Times New Roman" w:hAnsi="Book Antiqua"/>
          <w:color w:val="0070C0"/>
          <w:sz w:val="24"/>
          <w:szCs w:val="24"/>
        </w:rPr>
        <w:t>We believe t</w:t>
      </w:r>
      <w:r w:rsidR="0022194A" w:rsidRPr="00963EB3">
        <w:rPr>
          <w:rFonts w:ascii="Book Antiqua" w:eastAsia="Times New Roman" w:hAnsi="Book Antiqua"/>
          <w:color w:val="0070C0"/>
          <w:sz w:val="24"/>
          <w:szCs w:val="24"/>
        </w:rPr>
        <w:t xml:space="preserve">his revised manuscript </w:t>
      </w:r>
      <w:r w:rsidRPr="00963EB3">
        <w:rPr>
          <w:rFonts w:ascii="Book Antiqua" w:eastAsia="Times New Roman" w:hAnsi="Book Antiqua"/>
          <w:color w:val="0070C0"/>
          <w:sz w:val="24"/>
          <w:szCs w:val="24"/>
        </w:rPr>
        <w:t xml:space="preserve">fully </w:t>
      </w:r>
      <w:r w:rsidR="0022194A" w:rsidRPr="00963EB3">
        <w:rPr>
          <w:rFonts w:ascii="Book Antiqua" w:eastAsia="Times New Roman" w:hAnsi="Book Antiqua"/>
          <w:color w:val="0070C0"/>
          <w:sz w:val="24"/>
          <w:szCs w:val="24"/>
        </w:rPr>
        <w:t>complies</w:t>
      </w:r>
      <w:r w:rsidR="00A01762" w:rsidRPr="00963EB3">
        <w:rPr>
          <w:rFonts w:ascii="Book Antiqua" w:eastAsia="Times New Roman" w:hAnsi="Book Antiqua"/>
          <w:color w:val="0070C0"/>
          <w:sz w:val="24"/>
          <w:szCs w:val="24"/>
        </w:rPr>
        <w:t xml:space="preserve"> with PLOS ONE style requirements, including the LaTeX template </w:t>
      </w:r>
      <w:r w:rsidRPr="00963EB3">
        <w:rPr>
          <w:rFonts w:ascii="Book Antiqua" w:eastAsia="Times New Roman" w:hAnsi="Book Antiqua"/>
          <w:color w:val="0070C0"/>
          <w:sz w:val="24"/>
          <w:szCs w:val="24"/>
        </w:rPr>
        <w:t>(</w:t>
      </w:r>
      <w:r w:rsidR="00A01762" w:rsidRPr="00963EB3">
        <w:rPr>
          <w:rFonts w:ascii="Book Antiqua" w:eastAsia="Times New Roman" w:hAnsi="Book Antiqua"/>
          <w:color w:val="0070C0"/>
          <w:sz w:val="24"/>
          <w:szCs w:val="24"/>
        </w:rPr>
        <w:t>plos2025.bst</w:t>
      </w:r>
      <w:r w:rsidR="0022194A" w:rsidRPr="00963EB3">
        <w:rPr>
          <w:rFonts w:ascii="Book Antiqua" w:eastAsia="Times New Roman" w:hAnsi="Book Antiqua"/>
          <w:color w:val="0070C0"/>
          <w:sz w:val="24"/>
          <w:szCs w:val="24"/>
        </w:rPr>
        <w:t>,</w:t>
      </w:r>
      <w:r w:rsidR="00A01762" w:rsidRPr="00963EB3">
        <w:rPr>
          <w:rFonts w:ascii="Book Antiqua" w:eastAsia="Times New Roman" w:hAnsi="Book Antiqua"/>
          <w:color w:val="0070C0"/>
          <w:sz w:val="24"/>
          <w:szCs w:val="24"/>
        </w:rPr>
        <w:t xml:space="preserve"> </w:t>
      </w:r>
      <w:r w:rsidR="0022194A" w:rsidRPr="00963EB3">
        <w:rPr>
          <w:rFonts w:ascii="Book Antiqua" w:eastAsia="Times New Roman" w:hAnsi="Book Antiqua"/>
          <w:color w:val="0070C0"/>
          <w:sz w:val="24"/>
          <w:szCs w:val="24"/>
        </w:rPr>
        <w:t>v</w:t>
      </w:r>
      <w:r w:rsidR="00A01762" w:rsidRPr="00963EB3">
        <w:rPr>
          <w:rFonts w:ascii="Book Antiqua" w:eastAsia="Times New Roman" w:hAnsi="Book Antiqua"/>
          <w:color w:val="0070C0"/>
          <w:sz w:val="24"/>
          <w:szCs w:val="24"/>
        </w:rPr>
        <w:t>ersion 3.7), figure file nam</w:t>
      </w:r>
      <w:r w:rsidR="0022194A" w:rsidRPr="00963EB3">
        <w:rPr>
          <w:rFonts w:ascii="Book Antiqua" w:eastAsia="Times New Roman" w:hAnsi="Book Antiqua"/>
          <w:color w:val="0070C0"/>
          <w:sz w:val="24"/>
          <w:szCs w:val="24"/>
        </w:rPr>
        <w:t>e</w:t>
      </w:r>
      <w:r w:rsidRPr="00963EB3">
        <w:rPr>
          <w:rFonts w:ascii="Book Antiqua" w:eastAsia="Times New Roman" w:hAnsi="Book Antiqua"/>
          <w:color w:val="0070C0"/>
          <w:sz w:val="24"/>
          <w:szCs w:val="24"/>
        </w:rPr>
        <w:t>s</w:t>
      </w:r>
      <w:r w:rsidR="00A01762" w:rsidRPr="00963EB3">
        <w:rPr>
          <w:rFonts w:ascii="Book Antiqua" w:eastAsia="Times New Roman" w:hAnsi="Book Antiqua"/>
          <w:color w:val="0070C0"/>
          <w:sz w:val="24"/>
          <w:szCs w:val="24"/>
        </w:rPr>
        <w:t xml:space="preserve"> (</w:t>
      </w:r>
      <w:r w:rsidR="00485A09">
        <w:rPr>
          <w:rFonts w:ascii="Book Antiqua" w:eastAsia="Times New Roman" w:hAnsi="Book Antiqua"/>
          <w:color w:val="0070C0"/>
          <w:sz w:val="24"/>
          <w:szCs w:val="24"/>
        </w:rPr>
        <w:t>f</w:t>
      </w:r>
      <w:r w:rsidR="00A01762" w:rsidRPr="00963EB3">
        <w:rPr>
          <w:rFonts w:ascii="Book Antiqua" w:eastAsia="Times New Roman" w:hAnsi="Book Antiqua"/>
          <w:color w:val="0070C0"/>
          <w:sz w:val="24"/>
          <w:szCs w:val="24"/>
        </w:rPr>
        <w:t>ig1.tif–</w:t>
      </w:r>
      <w:r w:rsidR="00485A09">
        <w:rPr>
          <w:rFonts w:ascii="Book Antiqua" w:eastAsia="Times New Roman" w:hAnsi="Book Antiqua"/>
          <w:color w:val="0070C0"/>
          <w:sz w:val="24"/>
          <w:szCs w:val="24"/>
        </w:rPr>
        <w:t>f</w:t>
      </w:r>
      <w:r w:rsidR="00A01762" w:rsidRPr="00963EB3">
        <w:rPr>
          <w:rFonts w:ascii="Book Antiqua" w:eastAsia="Times New Roman" w:hAnsi="Book Antiqua"/>
          <w:color w:val="0070C0"/>
          <w:sz w:val="24"/>
          <w:szCs w:val="24"/>
        </w:rPr>
        <w:t>ig12.tif), multi-panel figures combined with embedded panel labels, TIFF format at 300 DPI, and proper in-text citations.</w:t>
      </w:r>
    </w:p>
    <w:p w14:paraId="4E1A3926" w14:textId="5C16D767" w:rsidR="005150AD" w:rsidRPr="00963EB3" w:rsidRDefault="00167C5F" w:rsidP="008251D8">
      <w:pPr>
        <w:pStyle w:val="a4"/>
        <w:numPr>
          <w:ilvl w:val="0"/>
          <w:numId w:val="7"/>
        </w:numPr>
        <w:spacing w:afterLines="50" w:after="120" w:line="360" w:lineRule="auto"/>
        <w:ind w:left="357" w:hanging="357"/>
        <w:rPr>
          <w:rFonts w:ascii="Book Antiqua" w:eastAsia="Times New Roman" w:hAnsi="Book Antiqua"/>
          <w:sz w:val="24"/>
          <w:szCs w:val="24"/>
        </w:rPr>
      </w:pPr>
      <w:r w:rsidRPr="00963EB3">
        <w:rPr>
          <w:rFonts w:ascii="Book Antiqua" w:eastAsia="Times New Roman" w:hAnsi="Book Antiqua"/>
          <w:color w:val="404040"/>
          <w:sz w:val="24"/>
          <w:szCs w:val="24"/>
        </w:rPr>
        <w:t>Please note that PLOS One has specific guidelines on code sharing for submissions in which author-generated code underpins the findings in the manuscript. In these cases, we expect all author-generated code to be made available without restrictions upon publication of the work.</w:t>
      </w:r>
    </w:p>
    <w:p w14:paraId="52EDCEE5" w14:textId="77777777" w:rsidR="00451EC7" w:rsidRPr="00080047" w:rsidRDefault="00451EC7" w:rsidP="00451EC7">
      <w:pPr>
        <w:pStyle w:val="2"/>
        <w:spacing w:before="0" w:afterLines="50" w:after="120" w:line="360" w:lineRule="auto"/>
        <w:rPr>
          <w:rFonts w:ascii="Book Antiqua" w:hAnsi="Book Antiqua"/>
          <w:color w:val="C00000"/>
        </w:rPr>
      </w:pPr>
      <w:r w:rsidRPr="00080047">
        <w:rPr>
          <w:rFonts w:ascii="Book Antiqua" w:hAnsi="Book Antiqua"/>
          <w:color w:val="C00000"/>
        </w:rPr>
        <w:t xml:space="preserve">Response: </w:t>
      </w:r>
    </w:p>
    <w:p w14:paraId="1C02B122" w14:textId="4E8D3018" w:rsidR="003E0F2E" w:rsidRPr="00963EB3" w:rsidRDefault="00702E51" w:rsidP="00ED5C72">
      <w:pPr>
        <w:pStyle w:val="2"/>
        <w:spacing w:before="0" w:afterLines="50" w:after="120" w:line="360" w:lineRule="auto"/>
        <w:rPr>
          <w:rFonts w:ascii="Book Antiqua" w:hAnsi="Book Antiqua"/>
          <w:b w:val="0"/>
          <w:bCs w:val="0"/>
          <w:color w:val="0070C0"/>
        </w:rPr>
      </w:pPr>
      <w:r w:rsidRPr="00963EB3">
        <w:rPr>
          <w:rFonts w:ascii="Book Antiqua" w:hAnsi="Book Antiqua"/>
          <w:b w:val="0"/>
          <w:bCs w:val="0"/>
          <w:color w:val="0070C0"/>
        </w:rPr>
        <w:t>All author-generated code is publicly available without restrictions under the MIT License at https://github.com/canslab1/BCAT, including both the original NetLogo model and a Python 3 reimplementation with pre-configured parameter files for reproducing all reported results. We archived the repository on Zenodo (DOI: 10.5281/zenodo.19216365) for long-term accessibility. A step-by-step protocol for reproducing all simulation results has been published on protocols.io (DOI: 10.17504/protocols.io.261geykydv47/v1). We updated the Data Availability Statement accordingly.</w:t>
      </w:r>
    </w:p>
    <w:p w14:paraId="68A11F69" w14:textId="66A5BA08" w:rsidR="005150AD" w:rsidRPr="00963EB3" w:rsidRDefault="0002428D" w:rsidP="00B863B6">
      <w:pPr>
        <w:pStyle w:val="2"/>
        <w:numPr>
          <w:ilvl w:val="0"/>
          <w:numId w:val="7"/>
        </w:numPr>
        <w:spacing w:before="0" w:afterLines="50" w:after="120" w:line="360" w:lineRule="auto"/>
        <w:ind w:left="357" w:hanging="357"/>
        <w:rPr>
          <w:rFonts w:ascii="Book Antiqua" w:hAnsi="Book Antiqua"/>
          <w:b w:val="0"/>
          <w:bCs w:val="0"/>
        </w:rPr>
      </w:pPr>
      <w:r w:rsidRPr="00963EB3">
        <w:rPr>
          <w:rFonts w:ascii="Book Antiqua" w:hAnsi="Book Antiqua"/>
          <w:b w:val="0"/>
          <w:bCs w:val="0"/>
          <w:color w:val="404040"/>
        </w:rPr>
        <w:t>Please update your submission to use the PLOS LaTeX template.</w:t>
      </w:r>
    </w:p>
    <w:p w14:paraId="41A430B8" w14:textId="77777777" w:rsidR="00451EC7" w:rsidRPr="00080047" w:rsidRDefault="00451EC7" w:rsidP="00451EC7">
      <w:pPr>
        <w:pStyle w:val="2"/>
        <w:spacing w:before="0" w:afterLines="50" w:after="120" w:line="360" w:lineRule="auto"/>
        <w:rPr>
          <w:rFonts w:ascii="Book Antiqua" w:hAnsi="Book Antiqua"/>
          <w:color w:val="C00000"/>
        </w:rPr>
      </w:pPr>
      <w:r w:rsidRPr="00080047">
        <w:rPr>
          <w:rFonts w:ascii="Book Antiqua" w:hAnsi="Book Antiqua"/>
          <w:color w:val="C00000"/>
        </w:rPr>
        <w:t xml:space="preserve">Response: </w:t>
      </w:r>
    </w:p>
    <w:p w14:paraId="21AB8ADE" w14:textId="7BBE736D" w:rsidR="003E0F2E" w:rsidRPr="00963EB3" w:rsidRDefault="00702E51" w:rsidP="00451EC7">
      <w:pPr>
        <w:pStyle w:val="2"/>
        <w:spacing w:before="0" w:afterLines="50" w:after="120" w:line="360" w:lineRule="auto"/>
        <w:rPr>
          <w:rFonts w:ascii="Book Antiqua" w:hAnsi="Book Antiqua"/>
          <w:b w:val="0"/>
          <w:bCs w:val="0"/>
          <w:color w:val="0070C0"/>
        </w:rPr>
      </w:pPr>
      <w:r w:rsidRPr="00963EB3">
        <w:rPr>
          <w:rFonts w:ascii="Book Antiqua" w:hAnsi="Book Antiqua"/>
          <w:b w:val="0"/>
          <w:bCs w:val="0"/>
          <w:color w:val="0070C0"/>
        </w:rPr>
        <w:t>We prepared the revised manuscript using the official PLOS ONE LaTeX template (plos2025.bst, Version 3.7), including all required formatting elements.</w:t>
      </w:r>
    </w:p>
    <w:p w14:paraId="217DB0D2" w14:textId="7653DD5F" w:rsidR="005150AD" w:rsidRPr="00963EB3" w:rsidRDefault="001B1A5A" w:rsidP="00B863B6">
      <w:pPr>
        <w:pStyle w:val="2"/>
        <w:numPr>
          <w:ilvl w:val="0"/>
          <w:numId w:val="7"/>
        </w:numPr>
        <w:spacing w:before="0" w:afterLines="50" w:after="120" w:line="360" w:lineRule="auto"/>
        <w:ind w:left="357" w:hanging="357"/>
        <w:rPr>
          <w:rFonts w:ascii="Book Antiqua" w:hAnsi="Book Antiqua"/>
          <w:b w:val="0"/>
          <w:bCs w:val="0"/>
        </w:rPr>
      </w:pPr>
      <w:r w:rsidRPr="00963EB3">
        <w:rPr>
          <w:rFonts w:ascii="Book Antiqua" w:hAnsi="Book Antiqua"/>
          <w:b w:val="0"/>
          <w:bCs w:val="0"/>
          <w:color w:val="404040"/>
        </w:rPr>
        <w:t>Please confirm at this time whether or not your submission contains all raw data required to replicate the results of your study. Authors must share the “minimal data set” for their submission.</w:t>
      </w:r>
    </w:p>
    <w:p w14:paraId="7323DB62" w14:textId="77777777" w:rsidR="00451EC7" w:rsidRPr="00080047" w:rsidRDefault="00451EC7" w:rsidP="00451EC7">
      <w:pPr>
        <w:pStyle w:val="2"/>
        <w:spacing w:before="0" w:afterLines="50" w:after="120" w:line="360" w:lineRule="auto"/>
        <w:rPr>
          <w:rFonts w:ascii="Book Antiqua" w:hAnsi="Book Antiqua"/>
          <w:color w:val="C00000"/>
        </w:rPr>
      </w:pPr>
      <w:r w:rsidRPr="00080047">
        <w:rPr>
          <w:rFonts w:ascii="Book Antiqua" w:hAnsi="Book Antiqua"/>
          <w:color w:val="C00000"/>
        </w:rPr>
        <w:t xml:space="preserve">Response: </w:t>
      </w:r>
    </w:p>
    <w:p w14:paraId="597C1FE8" w14:textId="27BD466C" w:rsidR="003E0F2E" w:rsidRPr="00963EB3" w:rsidRDefault="001608B1" w:rsidP="00ED5C72">
      <w:pPr>
        <w:spacing w:afterLines="50" w:after="120" w:line="360" w:lineRule="auto"/>
        <w:rPr>
          <w:rFonts w:ascii="Book Antiqua" w:eastAsia="Times New Roman" w:hAnsi="Book Antiqua"/>
          <w:color w:val="0070C0"/>
          <w:sz w:val="24"/>
          <w:szCs w:val="24"/>
        </w:rPr>
      </w:pPr>
      <w:r w:rsidRPr="00963EB3">
        <w:rPr>
          <w:rFonts w:ascii="Book Antiqua" w:eastAsia="Times New Roman" w:hAnsi="Book Antiqua"/>
          <w:color w:val="0070C0"/>
          <w:sz w:val="24"/>
          <w:szCs w:val="24"/>
        </w:rPr>
        <w:t>We confirm that all data required to replicate our results are publicly available. As a computational simulation study, the minimal dataset consists of: (1) complete source code and parameter configuration files (GitHub and Zenodo, as noted above), and (2) raw sensitivity analysis output data underlying Table 3 and Figs 7–9, available in the data/ directory at https://github.com/canslab1/BCAT. We updated our Data Availability Statement accordingly.</w:t>
      </w:r>
    </w:p>
    <w:p w14:paraId="01EB5980" w14:textId="0597633E" w:rsidR="005150AD" w:rsidRPr="00963EB3" w:rsidRDefault="00000000" w:rsidP="00B863B6">
      <w:pPr>
        <w:pStyle w:val="a4"/>
        <w:numPr>
          <w:ilvl w:val="0"/>
          <w:numId w:val="7"/>
        </w:numPr>
        <w:spacing w:afterLines="50" w:after="120" w:line="360" w:lineRule="auto"/>
        <w:ind w:left="357" w:hanging="357"/>
        <w:rPr>
          <w:rFonts w:ascii="Book Antiqua" w:eastAsia="Times New Roman" w:hAnsi="Book Antiqua"/>
          <w:sz w:val="24"/>
          <w:szCs w:val="24"/>
        </w:rPr>
      </w:pPr>
      <w:r w:rsidRPr="00963EB3">
        <w:rPr>
          <w:rFonts w:ascii="Book Antiqua" w:eastAsia="Times New Roman" w:hAnsi="Book Antiqua"/>
          <w:color w:val="404040"/>
          <w:sz w:val="24"/>
          <w:szCs w:val="24"/>
        </w:rPr>
        <w:lastRenderedPageBreak/>
        <w:t>We note that Figures 2, 4, 5, 6, 10 and 11 in your submission contain copyrighted images. We require you to either (1) present written permission from the copyright holder to publish these figures specifically under the CC BY 4.0 license, or (2) remove the figures from your submission.</w:t>
      </w:r>
    </w:p>
    <w:p w14:paraId="0110CF4D" w14:textId="77777777" w:rsidR="002A3058" w:rsidRPr="00080047" w:rsidRDefault="002A3058" w:rsidP="00451EC7">
      <w:pPr>
        <w:pStyle w:val="2"/>
        <w:spacing w:before="0" w:afterLines="50" w:after="120" w:line="360" w:lineRule="auto"/>
        <w:rPr>
          <w:rFonts w:ascii="Book Antiqua" w:hAnsi="Book Antiqua"/>
          <w:color w:val="C00000"/>
        </w:rPr>
      </w:pPr>
      <w:r w:rsidRPr="00080047">
        <w:rPr>
          <w:rFonts w:ascii="Book Antiqua" w:hAnsi="Book Antiqua"/>
          <w:color w:val="C00000"/>
        </w:rPr>
        <w:t xml:space="preserve">Response: </w:t>
      </w:r>
    </w:p>
    <w:p w14:paraId="40CB826F" w14:textId="6A26822A" w:rsidR="003E0F2E" w:rsidRPr="00963EB3" w:rsidRDefault="005F6E50" w:rsidP="00ED5C72">
      <w:pPr>
        <w:spacing w:afterLines="50" w:after="120" w:line="360" w:lineRule="auto"/>
        <w:rPr>
          <w:rFonts w:ascii="Book Antiqua" w:eastAsia="Times New Roman" w:hAnsi="Book Antiqua"/>
          <w:b/>
          <w:bCs/>
          <w:sz w:val="28"/>
          <w:szCs w:val="28"/>
        </w:rPr>
      </w:pPr>
      <w:r w:rsidRPr="00963EB3">
        <w:rPr>
          <w:rFonts w:ascii="Book Antiqua" w:eastAsia="Times New Roman" w:hAnsi="Book Antiqua"/>
          <w:color w:val="0070C0"/>
          <w:sz w:val="24"/>
          <w:szCs w:val="24"/>
        </w:rPr>
        <w:t xml:space="preserve">We </w:t>
      </w:r>
      <w:r w:rsidR="00B167C8" w:rsidRPr="00963EB3">
        <w:rPr>
          <w:rFonts w:ascii="Book Antiqua" w:eastAsia="Times New Roman" w:hAnsi="Book Antiqua"/>
          <w:color w:val="0070C0"/>
          <w:sz w:val="24"/>
          <w:szCs w:val="24"/>
        </w:rPr>
        <w:t>have removed the figures in question</w:t>
      </w:r>
      <w:r w:rsidRPr="00963EB3">
        <w:rPr>
          <w:rFonts w:ascii="Book Antiqua" w:eastAsia="Times New Roman" w:hAnsi="Book Antiqua"/>
          <w:color w:val="0070C0"/>
          <w:sz w:val="24"/>
          <w:szCs w:val="24"/>
        </w:rPr>
        <w:t xml:space="preserve">. </w:t>
      </w:r>
      <w:r w:rsidR="00B167C8" w:rsidRPr="00963EB3">
        <w:rPr>
          <w:rFonts w:ascii="Book Antiqua" w:eastAsia="Times New Roman" w:hAnsi="Book Antiqua"/>
          <w:color w:val="0070C0"/>
          <w:sz w:val="24"/>
          <w:szCs w:val="24"/>
        </w:rPr>
        <w:t>In addition</w:t>
      </w:r>
      <w:r w:rsidRPr="00963EB3">
        <w:rPr>
          <w:rFonts w:ascii="Book Antiqua" w:eastAsia="Times New Roman" w:hAnsi="Book Antiqua"/>
          <w:color w:val="0070C0"/>
          <w:sz w:val="24"/>
          <w:szCs w:val="24"/>
        </w:rPr>
        <w:t>, we re-implemented the BCAT model in Python 3 and regenerated all six figures (Figs 2, 4, 5, 6, 10, 11) using our own visualization code. The revised figures present equivalent simulation results under identical parameter configurations</w:t>
      </w:r>
      <w:r w:rsidR="00B167C8" w:rsidRPr="00963EB3">
        <w:rPr>
          <w:rFonts w:ascii="Book Antiqua" w:eastAsia="Times New Roman" w:hAnsi="Book Antiqua"/>
          <w:color w:val="0070C0"/>
          <w:sz w:val="24"/>
          <w:szCs w:val="24"/>
        </w:rPr>
        <w:t>. A</w:t>
      </w:r>
      <w:r w:rsidRPr="00963EB3">
        <w:rPr>
          <w:rFonts w:ascii="Book Antiqua" w:eastAsia="Times New Roman" w:hAnsi="Book Antiqua"/>
          <w:color w:val="0070C0"/>
          <w:sz w:val="24"/>
          <w:szCs w:val="24"/>
        </w:rPr>
        <w:t>ll visual elements are entirely our original work</w:t>
      </w:r>
      <w:r w:rsidR="00B167C8" w:rsidRPr="00963EB3">
        <w:rPr>
          <w:rFonts w:ascii="Book Antiqua" w:eastAsia="Times New Roman" w:hAnsi="Book Antiqua"/>
          <w:color w:val="0070C0"/>
          <w:sz w:val="24"/>
          <w:szCs w:val="24"/>
        </w:rPr>
        <w:t>, and</w:t>
      </w:r>
      <w:r w:rsidRPr="00963EB3">
        <w:rPr>
          <w:rFonts w:ascii="Book Antiqua" w:eastAsia="Times New Roman" w:hAnsi="Book Antiqua"/>
          <w:color w:val="0070C0"/>
          <w:sz w:val="24"/>
          <w:szCs w:val="24"/>
        </w:rPr>
        <w:t xml:space="preserve"> </w:t>
      </w:r>
      <w:r w:rsidR="00B167C8" w:rsidRPr="00963EB3">
        <w:rPr>
          <w:rFonts w:ascii="Book Antiqua" w:eastAsia="Times New Roman" w:hAnsi="Book Antiqua"/>
          <w:color w:val="0070C0"/>
          <w:sz w:val="24"/>
          <w:szCs w:val="24"/>
        </w:rPr>
        <w:t>n</w:t>
      </w:r>
      <w:r w:rsidRPr="00963EB3">
        <w:rPr>
          <w:rFonts w:ascii="Book Antiqua" w:eastAsia="Times New Roman" w:hAnsi="Book Antiqua"/>
          <w:color w:val="0070C0"/>
          <w:sz w:val="24"/>
          <w:szCs w:val="24"/>
        </w:rPr>
        <w:t>o third-party copyrighted material</w:t>
      </w:r>
      <w:r w:rsidR="00B167C8" w:rsidRPr="00963EB3">
        <w:rPr>
          <w:rFonts w:ascii="Book Antiqua" w:eastAsia="Times New Roman" w:hAnsi="Book Antiqua"/>
          <w:color w:val="0070C0"/>
          <w:sz w:val="24"/>
          <w:szCs w:val="24"/>
        </w:rPr>
        <w:t>s</w:t>
      </w:r>
      <w:r w:rsidRPr="00963EB3">
        <w:rPr>
          <w:rFonts w:ascii="Book Antiqua" w:eastAsia="Times New Roman" w:hAnsi="Book Antiqua"/>
          <w:color w:val="0070C0"/>
          <w:sz w:val="24"/>
          <w:szCs w:val="24"/>
        </w:rPr>
        <w:t xml:space="preserve"> remain.</w:t>
      </w:r>
      <w:r w:rsidRPr="00963EB3">
        <w:rPr>
          <w:rFonts w:ascii="Book Antiqua" w:hAnsi="Book Antiqua"/>
        </w:rPr>
        <w:br w:type="page"/>
      </w:r>
    </w:p>
    <w:p w14:paraId="09E628AB" w14:textId="34691E42" w:rsidR="005150AD" w:rsidRPr="00000A74" w:rsidRDefault="00000000" w:rsidP="00AB242D">
      <w:pPr>
        <w:pStyle w:val="1"/>
        <w:jc w:val="center"/>
        <w:rPr>
          <w:rFonts w:ascii="Book Antiqua" w:hAnsi="Book Antiqua"/>
          <w:sz w:val="40"/>
          <w:szCs w:val="40"/>
        </w:rPr>
      </w:pPr>
      <w:r w:rsidRPr="00000A74">
        <w:rPr>
          <w:rFonts w:ascii="Book Antiqua" w:hAnsi="Book Antiqua"/>
          <w:sz w:val="40"/>
          <w:szCs w:val="40"/>
        </w:rPr>
        <w:lastRenderedPageBreak/>
        <w:t>Part II: Response</w:t>
      </w:r>
      <w:r w:rsidR="00B167C8" w:rsidRPr="00000A74">
        <w:rPr>
          <w:rFonts w:ascii="Book Antiqua" w:hAnsi="Book Antiqua"/>
          <w:sz w:val="40"/>
          <w:szCs w:val="40"/>
        </w:rPr>
        <w:t>s</w:t>
      </w:r>
      <w:r w:rsidRPr="00000A74">
        <w:rPr>
          <w:rFonts w:ascii="Book Antiqua" w:hAnsi="Book Antiqua"/>
          <w:sz w:val="40"/>
          <w:szCs w:val="40"/>
        </w:rPr>
        <w:t xml:space="preserve"> to Reviewer #1</w:t>
      </w:r>
      <w:r w:rsidR="00B167C8" w:rsidRPr="00000A74">
        <w:rPr>
          <w:rFonts w:ascii="Book Antiqua" w:hAnsi="Book Antiqua"/>
          <w:sz w:val="40"/>
          <w:szCs w:val="40"/>
        </w:rPr>
        <w:t xml:space="preserve"> comments</w:t>
      </w:r>
    </w:p>
    <w:p w14:paraId="309F79C4" w14:textId="77777777" w:rsidR="005150AD" w:rsidRPr="00963EB3" w:rsidRDefault="00000000" w:rsidP="00000A74">
      <w:pPr>
        <w:pStyle w:val="2"/>
        <w:spacing w:before="0" w:afterLines="50" w:after="120" w:line="360" w:lineRule="auto"/>
        <w:rPr>
          <w:rFonts w:ascii="Book Antiqua" w:hAnsi="Book Antiqua"/>
        </w:rPr>
      </w:pPr>
      <w:r w:rsidRPr="00963EB3">
        <w:rPr>
          <w:rFonts w:ascii="Book Antiqua" w:hAnsi="Book Antiqua"/>
        </w:rPr>
        <w:t>R1-1. What Makes the Two Models Combine Organically?</w:t>
      </w:r>
    </w:p>
    <w:p w14:paraId="710F1CBB" w14:textId="77777777" w:rsidR="005150AD" w:rsidRPr="00AB242D" w:rsidRDefault="00000000" w:rsidP="00000A74">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 paper motivates the BCAT model as a combination of opinion dynamics and adoption thresholds, but the theoretical rationale for why these two components interact in the specific way they do could be articulated more sharply. In particular, the current presentation treats the two components somewhat modularly: agents first update opinions via bounded confidence, then check an adoption threshold. The reader is left to infer the interaction structure from the pseudo-code rather than from a conceptual discussion.</w:t>
      </w:r>
    </w:p>
    <w:p w14:paraId="6BCE2B8A" w14:textId="77777777" w:rsidR="005150AD" w:rsidRPr="00AB242D" w:rsidRDefault="00000000" w:rsidP="00000A74">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It would strengthen the paper to discuss explicitly: (a) what features of bounded confidence opinion dynamics—as opposed to, say, DeGroot-style averaging or voter model dynamics—make it a natural complement to threshold-based adoption, and (b) what structural properties of the combined model are not present in either component alone.</w:t>
      </w:r>
    </w:p>
    <w:p w14:paraId="02B05361" w14:textId="77777777" w:rsidR="00451EC7" w:rsidRPr="00080047" w:rsidRDefault="00451EC7" w:rsidP="00451EC7">
      <w:pPr>
        <w:pStyle w:val="2"/>
        <w:spacing w:before="0" w:afterLines="50" w:after="120" w:line="360" w:lineRule="auto"/>
        <w:rPr>
          <w:rFonts w:ascii="Book Antiqua" w:hAnsi="Book Antiqua"/>
          <w:color w:val="C00000"/>
        </w:rPr>
      </w:pPr>
      <w:r w:rsidRPr="00080047">
        <w:rPr>
          <w:rFonts w:ascii="Book Antiqua" w:hAnsi="Book Antiqua"/>
          <w:color w:val="C00000"/>
        </w:rPr>
        <w:t xml:space="preserve">Response: </w:t>
      </w:r>
    </w:p>
    <w:p w14:paraId="64A93AEB" w14:textId="6A9BD2F5" w:rsidR="005150AD" w:rsidRPr="00080047" w:rsidRDefault="00000000" w:rsidP="00451EC7">
      <w:pPr>
        <w:spacing w:afterLines="50" w:after="120" w:line="360" w:lineRule="auto"/>
        <w:rPr>
          <w:rFonts w:ascii="Book Antiqua" w:hAnsi="Book Antiqua"/>
          <w:color w:val="0070C0"/>
          <w:sz w:val="24"/>
          <w:szCs w:val="24"/>
        </w:rPr>
      </w:pPr>
      <w:r w:rsidRPr="00080047">
        <w:rPr>
          <w:rFonts w:ascii="Book Antiqua" w:eastAsia="Times New Roman" w:hAnsi="Book Antiqua"/>
          <w:color w:val="0070C0"/>
          <w:sz w:val="24"/>
          <w:szCs w:val="24"/>
        </w:rPr>
        <w:t xml:space="preserve">Regarding point (a), </w:t>
      </w:r>
      <w:r w:rsidR="00B167C8" w:rsidRPr="00080047">
        <w:rPr>
          <w:rFonts w:ascii="Book Antiqua" w:eastAsia="Times New Roman" w:hAnsi="Book Antiqua"/>
          <w:color w:val="0070C0"/>
          <w:sz w:val="24"/>
          <w:szCs w:val="24"/>
        </w:rPr>
        <w:t>in this revised manuscript</w:t>
      </w:r>
      <w:r w:rsidRPr="00080047">
        <w:rPr>
          <w:rFonts w:ascii="Book Antiqua" w:eastAsia="Times New Roman" w:hAnsi="Book Antiqua"/>
          <w:color w:val="0070C0"/>
          <w:sz w:val="24"/>
          <w:szCs w:val="24"/>
        </w:rPr>
        <w:t xml:space="preserve"> w</w:t>
      </w:r>
      <w:r w:rsidR="00B167C8" w:rsidRPr="00080047">
        <w:rPr>
          <w:rFonts w:ascii="Book Antiqua" w:eastAsia="Times New Roman" w:hAnsi="Book Antiqua"/>
          <w:color w:val="0070C0"/>
          <w:sz w:val="24"/>
          <w:szCs w:val="24"/>
        </w:rPr>
        <w:t>e</w:t>
      </w:r>
      <w:r w:rsidRPr="00080047">
        <w:rPr>
          <w:rFonts w:ascii="Book Antiqua" w:eastAsia="Times New Roman" w:hAnsi="Book Antiqua"/>
          <w:color w:val="0070C0"/>
          <w:sz w:val="24"/>
          <w:szCs w:val="24"/>
        </w:rPr>
        <w:t xml:space="preserve"> discuss why bounded confidence</w:t>
      </w:r>
      <w:r w:rsidR="00B167C8" w:rsidRPr="00080047">
        <w:rPr>
          <w:rFonts w:ascii="Book Antiqua" w:eastAsia="Times New Roman" w:hAnsi="Book Antiqua"/>
          <w:color w:val="0070C0"/>
          <w:sz w:val="24"/>
          <w:szCs w:val="24"/>
        </w:rPr>
        <w:t xml:space="preserve">, </w:t>
      </w:r>
      <w:r w:rsidRPr="00080047">
        <w:rPr>
          <w:rFonts w:ascii="Book Antiqua" w:eastAsia="Times New Roman" w:hAnsi="Book Antiqua"/>
          <w:color w:val="0070C0"/>
          <w:sz w:val="24"/>
          <w:szCs w:val="24"/>
        </w:rPr>
        <w:t>rather than DeGroot-style averaging or voter model dynamics</w:t>
      </w:r>
      <w:r w:rsidR="00B167C8" w:rsidRPr="00080047">
        <w:rPr>
          <w:rFonts w:ascii="Book Antiqua" w:eastAsia="Times New Roman" w:hAnsi="Book Antiqua"/>
          <w:color w:val="0070C0"/>
          <w:sz w:val="24"/>
          <w:szCs w:val="24"/>
        </w:rPr>
        <w:t>, represents</w:t>
      </w:r>
      <w:r w:rsidRPr="00080047">
        <w:rPr>
          <w:rFonts w:ascii="Book Antiqua" w:eastAsia="Times New Roman" w:hAnsi="Book Antiqua"/>
          <w:color w:val="0070C0"/>
          <w:sz w:val="24"/>
          <w:szCs w:val="24"/>
        </w:rPr>
        <w:t xml:space="preserve"> </w:t>
      </w:r>
      <w:r w:rsidR="00B167C8" w:rsidRPr="00080047">
        <w:rPr>
          <w:rFonts w:ascii="Book Antiqua" w:eastAsia="Times New Roman" w:hAnsi="Book Antiqua"/>
          <w:color w:val="0070C0"/>
          <w:sz w:val="24"/>
          <w:szCs w:val="24"/>
        </w:rPr>
        <w:t>a</w:t>
      </w:r>
      <w:r w:rsidRPr="00080047">
        <w:rPr>
          <w:rFonts w:ascii="Book Antiqua" w:eastAsia="Times New Roman" w:hAnsi="Book Antiqua"/>
          <w:color w:val="0070C0"/>
          <w:sz w:val="24"/>
          <w:szCs w:val="24"/>
        </w:rPr>
        <w:t xml:space="preserve"> natural complement to threshold-based adoption. DeGroot-style averaging models assume that all agents a</w:t>
      </w:r>
      <w:r w:rsidR="00B167C8" w:rsidRPr="00080047">
        <w:rPr>
          <w:rFonts w:ascii="Book Antiqua" w:eastAsia="Times New Roman" w:hAnsi="Book Antiqua"/>
          <w:color w:val="0070C0"/>
          <w:sz w:val="24"/>
          <w:szCs w:val="24"/>
        </w:rPr>
        <w:t>re affected by</w:t>
      </w:r>
      <w:r w:rsidRPr="00080047">
        <w:rPr>
          <w:rFonts w:ascii="Book Antiqua" w:eastAsia="Times New Roman" w:hAnsi="Book Antiqua"/>
          <w:color w:val="0070C0"/>
          <w:sz w:val="24"/>
          <w:szCs w:val="24"/>
        </w:rPr>
        <w:t xml:space="preserve"> influence</w:t>
      </w:r>
      <w:r w:rsidR="00B167C8" w:rsidRPr="00080047">
        <w:rPr>
          <w:rFonts w:ascii="Book Antiqua" w:eastAsia="Times New Roman" w:hAnsi="Book Antiqua"/>
          <w:color w:val="0070C0"/>
          <w:sz w:val="24"/>
          <w:szCs w:val="24"/>
        </w:rPr>
        <w:t>s</w:t>
      </w:r>
      <w:r w:rsidRPr="00080047">
        <w:rPr>
          <w:rFonts w:ascii="Book Antiqua" w:eastAsia="Times New Roman" w:hAnsi="Book Antiqua"/>
          <w:color w:val="0070C0"/>
          <w:sz w:val="24"/>
          <w:szCs w:val="24"/>
        </w:rPr>
        <w:t xml:space="preserve"> from all neighbors, </w:t>
      </w:r>
      <w:r w:rsidR="00CC1C3D" w:rsidRPr="00080047">
        <w:rPr>
          <w:rFonts w:ascii="Book Antiqua" w:eastAsia="Times New Roman" w:hAnsi="Book Antiqua"/>
          <w:color w:val="0070C0"/>
          <w:sz w:val="24"/>
          <w:szCs w:val="24"/>
        </w:rPr>
        <w:t>resulting in</w:t>
      </w:r>
      <w:r w:rsidRPr="00080047">
        <w:rPr>
          <w:rFonts w:ascii="Book Antiqua" w:eastAsia="Times New Roman" w:hAnsi="Book Antiqua"/>
          <w:color w:val="0070C0"/>
          <w:sz w:val="24"/>
          <w:szCs w:val="24"/>
        </w:rPr>
        <w:t xml:space="preserve"> guaranteed convergence toward consensus under mild connectivity conditions</w:t>
      </w:r>
      <w:r w:rsidR="00B167C8" w:rsidRPr="00080047">
        <w:rPr>
          <w:rFonts w:ascii="Book Antiqua" w:eastAsia="Times New Roman" w:hAnsi="Book Antiqua"/>
          <w:color w:val="0070C0"/>
          <w:sz w:val="24"/>
          <w:szCs w:val="24"/>
        </w:rPr>
        <w:t xml:space="preserve"> (Golub &amp; Jackson, 2010, 2012; Cheng et al., 2026)</w:t>
      </w:r>
      <w:r w:rsidRPr="00080047">
        <w:rPr>
          <w:rFonts w:ascii="Book Antiqua" w:eastAsia="Times New Roman" w:hAnsi="Book Antiqua"/>
          <w:color w:val="0070C0"/>
          <w:sz w:val="24"/>
          <w:szCs w:val="24"/>
        </w:rPr>
        <w:t xml:space="preserve">. This property makes the DeGroot framework ill-suited for studying the “best game no one played” phenomenon because it cannot generate opinion fragmentation—a key mechanism through which positive average sentiment </w:t>
      </w:r>
      <w:r w:rsidR="00CC1C3D" w:rsidRPr="00080047">
        <w:rPr>
          <w:rFonts w:ascii="Book Antiqua" w:eastAsia="Times New Roman" w:hAnsi="Book Antiqua"/>
          <w:color w:val="0070C0"/>
          <w:sz w:val="24"/>
          <w:szCs w:val="24"/>
        </w:rPr>
        <w:t>can</w:t>
      </w:r>
      <w:r w:rsidRPr="00080047">
        <w:rPr>
          <w:rFonts w:ascii="Book Antiqua" w:eastAsia="Times New Roman" w:hAnsi="Book Antiqua"/>
          <w:color w:val="0070C0"/>
          <w:sz w:val="24"/>
          <w:szCs w:val="24"/>
        </w:rPr>
        <w:t xml:space="preserve"> coexist with insufficient local support for adoption. Voter model dynamics are discrete and </w:t>
      </w:r>
      <w:r w:rsidR="003E3B9F" w:rsidRPr="00080047">
        <w:rPr>
          <w:rFonts w:ascii="Book Antiqua" w:eastAsia="Times New Roman" w:hAnsi="Book Antiqua"/>
          <w:color w:val="0070C0"/>
          <w:sz w:val="24"/>
          <w:szCs w:val="24"/>
        </w:rPr>
        <w:t xml:space="preserve">lacking of </w:t>
      </w:r>
      <w:r w:rsidRPr="00080047">
        <w:rPr>
          <w:rFonts w:ascii="Book Antiqua" w:eastAsia="Times New Roman" w:hAnsi="Book Antiqua"/>
          <w:color w:val="0070C0"/>
          <w:sz w:val="24"/>
          <w:szCs w:val="24"/>
        </w:rPr>
        <w:t>memory (</w:t>
      </w:r>
      <w:r w:rsidR="003E3B9F" w:rsidRPr="00080047">
        <w:rPr>
          <w:rFonts w:ascii="Book Antiqua" w:eastAsia="Times New Roman" w:hAnsi="Book Antiqua"/>
          <w:color w:val="0070C0"/>
          <w:sz w:val="24"/>
          <w:szCs w:val="24"/>
        </w:rPr>
        <w:t xml:space="preserve">with </w:t>
      </w:r>
      <w:r w:rsidRPr="00080047">
        <w:rPr>
          <w:rFonts w:ascii="Book Antiqua" w:eastAsia="Times New Roman" w:hAnsi="Book Antiqua"/>
          <w:color w:val="0070C0"/>
          <w:sz w:val="24"/>
          <w:szCs w:val="24"/>
        </w:rPr>
        <w:t>each agent randomly cop</w:t>
      </w:r>
      <w:r w:rsidR="003E3B9F" w:rsidRPr="00080047">
        <w:rPr>
          <w:rFonts w:ascii="Book Antiqua" w:eastAsia="Times New Roman" w:hAnsi="Book Antiqua"/>
          <w:color w:val="0070C0"/>
          <w:sz w:val="24"/>
          <w:szCs w:val="24"/>
        </w:rPr>
        <w:t>ying</w:t>
      </w:r>
      <w:r w:rsidRPr="00080047">
        <w:rPr>
          <w:rFonts w:ascii="Book Antiqua" w:eastAsia="Times New Roman" w:hAnsi="Book Antiqua"/>
          <w:color w:val="0070C0"/>
          <w:sz w:val="24"/>
          <w:szCs w:val="24"/>
        </w:rPr>
        <w:t xml:space="preserve"> a neighbor’s binary state)</w:t>
      </w:r>
      <w:r w:rsidR="003E3B9F"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and </w:t>
      </w:r>
      <w:r w:rsidR="003E3B9F" w:rsidRPr="00080047">
        <w:rPr>
          <w:rFonts w:ascii="Book Antiqua" w:eastAsia="Times New Roman" w:hAnsi="Book Antiqua"/>
          <w:color w:val="0070C0"/>
          <w:sz w:val="24"/>
          <w:szCs w:val="24"/>
        </w:rPr>
        <w:t xml:space="preserve">therefore </w:t>
      </w:r>
      <w:r w:rsidRPr="00080047">
        <w:rPr>
          <w:rFonts w:ascii="Book Antiqua" w:eastAsia="Times New Roman" w:hAnsi="Book Antiqua"/>
          <w:color w:val="0070C0"/>
          <w:sz w:val="24"/>
          <w:szCs w:val="24"/>
        </w:rPr>
        <w:t xml:space="preserve">cannot capture the gradual, continuous nature of attitude evolution that characterizes real consumer sentiment formation. </w:t>
      </w:r>
      <w:r w:rsidR="003E3B9F" w:rsidRPr="00080047">
        <w:rPr>
          <w:rFonts w:ascii="Book Antiqua" w:eastAsia="Times New Roman" w:hAnsi="Book Antiqua"/>
          <w:color w:val="0070C0"/>
          <w:sz w:val="24"/>
          <w:szCs w:val="24"/>
        </w:rPr>
        <w:t>By restricting opinion exchange</w:t>
      </w:r>
      <w:r w:rsidR="00EA532F" w:rsidRPr="00080047">
        <w:rPr>
          <w:rFonts w:ascii="Book Antiqua" w:eastAsia="Times New Roman" w:hAnsi="Book Antiqua"/>
          <w:color w:val="0070C0"/>
          <w:sz w:val="24"/>
          <w:szCs w:val="24"/>
        </w:rPr>
        <w:t>s</w:t>
      </w:r>
      <w:r w:rsidR="003E3B9F" w:rsidRPr="00080047">
        <w:rPr>
          <w:rFonts w:ascii="Book Antiqua" w:eastAsia="Times New Roman" w:hAnsi="Book Antiqua"/>
          <w:color w:val="0070C0"/>
          <w:sz w:val="24"/>
          <w:szCs w:val="24"/>
        </w:rPr>
        <w:t xml:space="preserve"> to </w:t>
      </w:r>
      <w:r w:rsidR="00EA532F" w:rsidRPr="00080047">
        <w:rPr>
          <w:rFonts w:ascii="Book Antiqua" w:eastAsia="Times New Roman" w:hAnsi="Book Antiqua"/>
          <w:color w:val="0070C0"/>
          <w:sz w:val="24"/>
          <w:szCs w:val="24"/>
        </w:rPr>
        <w:t xml:space="preserve">agent </w:t>
      </w:r>
      <w:r w:rsidR="003E3B9F" w:rsidRPr="00080047">
        <w:rPr>
          <w:rFonts w:ascii="Book Antiqua" w:eastAsia="Times New Roman" w:hAnsi="Book Antiqua"/>
          <w:color w:val="0070C0"/>
          <w:sz w:val="24"/>
          <w:szCs w:val="24"/>
        </w:rPr>
        <w:t>pairs whose attitudes fall within a tolerance threshold, b</w:t>
      </w:r>
      <w:r w:rsidRPr="00080047">
        <w:rPr>
          <w:rFonts w:ascii="Book Antiqua" w:eastAsia="Times New Roman" w:hAnsi="Book Antiqua"/>
          <w:color w:val="0070C0"/>
          <w:sz w:val="24"/>
          <w:szCs w:val="24"/>
        </w:rPr>
        <w:t>ounded confidence naturally generates both consensus (when the confidence bound is large) and fragmentation into multiple clusters (when small).</w:t>
      </w:r>
      <w:r w:rsidR="001608B1" w:rsidRPr="00080047">
        <w:rPr>
          <w:rFonts w:ascii="Book Antiqua" w:eastAsia="Times New Roman" w:hAnsi="Book Antiqua"/>
          <w:color w:val="0070C0"/>
          <w:sz w:val="24"/>
          <w:szCs w:val="24"/>
        </w:rPr>
        <w:t xml:space="preserve"> This dual capacity makes bounded confidence suitable for the adoption threshold mechanism, because fragmentation creates the possibility that average attitudes are positive yet local neighborhoods lack sufficient positive-attitude agents to trigger adoption cascades.</w:t>
      </w:r>
    </w:p>
    <w:p w14:paraId="4B464634" w14:textId="7F74CA97" w:rsidR="005150AD" w:rsidRPr="0008004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Regarding point (b), </w:t>
      </w:r>
      <w:r w:rsidR="00F60809" w:rsidRPr="00080047">
        <w:rPr>
          <w:rFonts w:ascii="Book Antiqua" w:eastAsia="Times New Roman" w:hAnsi="Book Antiqua"/>
          <w:color w:val="0070C0"/>
          <w:sz w:val="24"/>
          <w:szCs w:val="24"/>
        </w:rPr>
        <w:t xml:space="preserve">in this revised manuscript </w:t>
      </w:r>
      <w:r w:rsidRPr="00080047">
        <w:rPr>
          <w:rFonts w:ascii="Book Antiqua" w:eastAsia="Times New Roman" w:hAnsi="Book Antiqua"/>
          <w:color w:val="0070C0"/>
          <w:sz w:val="24"/>
          <w:szCs w:val="24"/>
        </w:rPr>
        <w:t xml:space="preserve">we identify emergent properties of the combined model that </w:t>
      </w:r>
      <w:r w:rsidR="00F60809" w:rsidRPr="00080047">
        <w:rPr>
          <w:rFonts w:ascii="Book Antiqua" w:eastAsia="Times New Roman" w:hAnsi="Book Antiqua"/>
          <w:color w:val="0070C0"/>
          <w:sz w:val="24"/>
          <w:szCs w:val="24"/>
        </w:rPr>
        <w:t xml:space="preserve">are not produced by </w:t>
      </w:r>
      <w:r w:rsidRPr="00080047">
        <w:rPr>
          <w:rFonts w:ascii="Book Antiqua" w:eastAsia="Times New Roman" w:hAnsi="Book Antiqua"/>
          <w:color w:val="0070C0"/>
          <w:sz w:val="24"/>
          <w:szCs w:val="24"/>
        </w:rPr>
        <w:t xml:space="preserve">either component </w:t>
      </w:r>
      <w:r w:rsidR="00F60809" w:rsidRPr="00080047">
        <w:rPr>
          <w:rFonts w:ascii="Book Antiqua" w:eastAsia="Times New Roman" w:hAnsi="Book Antiqua"/>
          <w:color w:val="0070C0"/>
          <w:sz w:val="24"/>
          <w:szCs w:val="24"/>
        </w:rPr>
        <w:t>model</w:t>
      </w:r>
      <w:r w:rsidRPr="00080047">
        <w:rPr>
          <w:rFonts w:ascii="Book Antiqua" w:eastAsia="Times New Roman" w:hAnsi="Book Antiqua"/>
          <w:color w:val="0070C0"/>
          <w:sz w:val="24"/>
          <w:szCs w:val="24"/>
        </w:rPr>
        <w:t xml:space="preserve"> alone. </w:t>
      </w:r>
      <w:r w:rsidR="00F60809" w:rsidRPr="00080047">
        <w:rPr>
          <w:rFonts w:ascii="Book Antiqua" w:eastAsia="Times New Roman" w:hAnsi="Book Antiqua"/>
          <w:color w:val="0070C0"/>
          <w:sz w:val="24"/>
          <w:szCs w:val="24"/>
        </w:rPr>
        <w:t>M</w:t>
      </w:r>
      <w:r w:rsidRPr="00080047">
        <w:rPr>
          <w:rFonts w:ascii="Book Antiqua" w:eastAsia="Times New Roman" w:hAnsi="Book Antiqua"/>
          <w:color w:val="0070C0"/>
          <w:sz w:val="24"/>
          <w:szCs w:val="24"/>
        </w:rPr>
        <w:t xml:space="preserve">ost important is the bidirectional feedback loop between adoption status and opinion exchange. </w:t>
      </w:r>
      <w:r w:rsidR="00F60809" w:rsidRPr="00080047">
        <w:rPr>
          <w:rFonts w:ascii="Book Antiqua" w:eastAsia="Times New Roman" w:hAnsi="Book Antiqua"/>
          <w:color w:val="0070C0"/>
          <w:sz w:val="24"/>
          <w:szCs w:val="24"/>
        </w:rPr>
        <w:t>O</w:t>
      </w:r>
      <w:r w:rsidRPr="00080047">
        <w:rPr>
          <w:rFonts w:ascii="Book Antiqua" w:eastAsia="Times New Roman" w:hAnsi="Book Antiqua"/>
          <w:color w:val="0070C0"/>
          <w:sz w:val="24"/>
          <w:szCs w:val="24"/>
        </w:rPr>
        <w:t xml:space="preserve">pinion exchange rules </w:t>
      </w:r>
      <w:r w:rsidR="00F60809" w:rsidRPr="00080047">
        <w:rPr>
          <w:rFonts w:ascii="Book Antiqua" w:eastAsia="Times New Roman" w:hAnsi="Book Antiqua"/>
          <w:color w:val="0070C0"/>
          <w:sz w:val="24"/>
          <w:szCs w:val="24"/>
        </w:rPr>
        <w:t xml:space="preserve">in BCAT </w:t>
      </w:r>
      <w:r w:rsidRPr="00080047">
        <w:rPr>
          <w:rFonts w:ascii="Book Antiqua" w:eastAsia="Times New Roman" w:hAnsi="Book Antiqua"/>
          <w:color w:val="0070C0"/>
          <w:sz w:val="24"/>
          <w:szCs w:val="24"/>
        </w:rPr>
        <w:t>depend on the adoption statuses of both interacting agents: when one agent has adopted and the other has not, the exchange follows asymmetric persuasion logic (the adopt</w:t>
      </w:r>
      <w:r w:rsidR="00F60809" w:rsidRPr="00080047">
        <w:rPr>
          <w:rFonts w:ascii="Book Antiqua" w:eastAsia="Times New Roman" w:hAnsi="Book Antiqua"/>
          <w:color w:val="0070C0"/>
          <w:sz w:val="24"/>
          <w:szCs w:val="24"/>
        </w:rPr>
        <w:t>ing</w:t>
      </w:r>
      <w:r w:rsidRPr="00080047">
        <w:rPr>
          <w:rFonts w:ascii="Book Antiqua" w:eastAsia="Times New Roman" w:hAnsi="Book Antiqua"/>
          <w:color w:val="0070C0"/>
          <w:sz w:val="24"/>
          <w:szCs w:val="24"/>
        </w:rPr>
        <w:t xml:space="preserve"> agent exerts stronger influence)</w:t>
      </w:r>
      <w:r w:rsidR="00D86D7F" w:rsidRPr="00080047">
        <w:rPr>
          <w:rFonts w:ascii="Book Antiqua" w:eastAsia="Times New Roman" w:hAnsi="Book Antiqua"/>
          <w:color w:val="0070C0"/>
          <w:sz w:val="24"/>
          <w:szCs w:val="24"/>
        </w:rPr>
        <w:t>. W</w:t>
      </w:r>
      <w:r w:rsidRPr="00080047">
        <w:rPr>
          <w:rFonts w:ascii="Book Antiqua" w:eastAsia="Times New Roman" w:hAnsi="Book Antiqua"/>
          <w:color w:val="0070C0"/>
          <w:sz w:val="24"/>
          <w:szCs w:val="24"/>
        </w:rPr>
        <w:t xml:space="preserve">hen </w:t>
      </w:r>
      <w:r w:rsidRPr="00080047">
        <w:rPr>
          <w:rFonts w:ascii="Book Antiqua" w:eastAsia="Times New Roman" w:hAnsi="Book Antiqua"/>
          <w:color w:val="0070C0"/>
          <w:sz w:val="24"/>
          <w:szCs w:val="24"/>
        </w:rPr>
        <w:lastRenderedPageBreak/>
        <w:t>both adopt, attitudes converge toward the more positive pole</w:t>
      </w:r>
      <w:r w:rsidR="00EE2914" w:rsidRPr="00080047">
        <w:rPr>
          <w:rFonts w:ascii="Book Antiqua" w:eastAsia="Times New Roman" w:hAnsi="Book Antiqua"/>
          <w:color w:val="0070C0"/>
          <w:sz w:val="24"/>
          <w:szCs w:val="24"/>
        </w:rPr>
        <w:t>, and</w:t>
      </w:r>
      <w:r w:rsidRPr="00080047">
        <w:rPr>
          <w:rFonts w:ascii="Book Antiqua" w:eastAsia="Times New Roman" w:hAnsi="Book Antiqua"/>
          <w:color w:val="0070C0"/>
          <w:sz w:val="24"/>
          <w:szCs w:val="24"/>
        </w:rPr>
        <w:t xml:space="preserve"> when neither adopt, standard bidirectional convergence applies. The adoption decision</w:t>
      </w:r>
      <w:r w:rsidR="00393473" w:rsidRPr="00080047">
        <w:rPr>
          <w:rFonts w:ascii="Book Antiqua" w:eastAsia="Times New Roman" w:hAnsi="Book Antiqua"/>
          <w:color w:val="0070C0"/>
          <w:sz w:val="24"/>
          <w:szCs w:val="24"/>
        </w:rPr>
        <w:t xml:space="preserve"> (</w:t>
      </w:r>
      <w:r w:rsidRPr="00080047">
        <w:rPr>
          <w:rFonts w:ascii="Book Antiqua" w:eastAsia="Times New Roman" w:hAnsi="Book Antiqua"/>
          <w:color w:val="0070C0"/>
          <w:sz w:val="24"/>
          <w:szCs w:val="24"/>
        </w:rPr>
        <w:t>a downstream consequence of opinion formation</w:t>
      </w:r>
      <w:r w:rsidR="00393473" w:rsidRPr="00080047">
        <w:rPr>
          <w:rFonts w:ascii="Book Antiqua" w:eastAsia="Times New Roman" w:hAnsi="Book Antiqua"/>
          <w:color w:val="0070C0"/>
          <w:sz w:val="24"/>
          <w:szCs w:val="24"/>
        </w:rPr>
        <w:t xml:space="preserve">) </w:t>
      </w:r>
      <w:r w:rsidRPr="00080047">
        <w:rPr>
          <w:rFonts w:ascii="Book Antiqua" w:eastAsia="Times New Roman" w:hAnsi="Book Antiqua"/>
          <w:color w:val="0070C0"/>
          <w:sz w:val="24"/>
          <w:szCs w:val="24"/>
        </w:rPr>
        <w:t xml:space="preserve">thus </w:t>
      </w:r>
      <w:r w:rsidR="00393473" w:rsidRPr="00080047">
        <w:rPr>
          <w:rFonts w:ascii="Book Antiqua" w:eastAsia="Times New Roman" w:hAnsi="Book Antiqua"/>
          <w:color w:val="0070C0"/>
          <w:sz w:val="24"/>
          <w:szCs w:val="24"/>
        </w:rPr>
        <w:t xml:space="preserve">offers </w:t>
      </w:r>
      <w:r w:rsidRPr="00080047">
        <w:rPr>
          <w:rFonts w:ascii="Book Antiqua" w:eastAsia="Times New Roman" w:hAnsi="Book Antiqua"/>
          <w:color w:val="0070C0"/>
          <w:sz w:val="24"/>
          <w:szCs w:val="24"/>
        </w:rPr>
        <w:t xml:space="preserve">feedback to the opinion dynamics process, creating a coupled dynamical system whose behavior cannot be predicted from either component </w:t>
      </w:r>
      <w:r w:rsidR="00712600" w:rsidRPr="00080047">
        <w:rPr>
          <w:rFonts w:ascii="Book Antiqua" w:eastAsia="Times New Roman" w:hAnsi="Book Antiqua"/>
          <w:color w:val="0070C0"/>
          <w:sz w:val="24"/>
          <w:szCs w:val="24"/>
        </w:rPr>
        <w:t>alone</w:t>
      </w:r>
      <w:r w:rsidRPr="00080047">
        <w:rPr>
          <w:rFonts w:ascii="Book Antiqua" w:eastAsia="Times New Roman" w:hAnsi="Book Antiqua"/>
          <w:color w:val="0070C0"/>
          <w:sz w:val="24"/>
          <w:szCs w:val="24"/>
        </w:rPr>
        <w:t>. For instance, early adoption by a few agents can create localized pockets of reinforced positive attitudes that may or may not propagate outward, depending on network structure and threshold distribution.</w:t>
      </w:r>
    </w:p>
    <w:p w14:paraId="4560264C" w14:textId="53E46F7D" w:rsidR="00712600" w:rsidRPr="00080047" w:rsidRDefault="00ED5C72"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W</w:t>
      </w:r>
      <w:r w:rsidR="00712600" w:rsidRPr="00080047">
        <w:rPr>
          <w:rFonts w:ascii="Book Antiqua" w:eastAsia="Times New Roman" w:hAnsi="Book Antiqua"/>
          <w:color w:val="0070C0"/>
          <w:sz w:val="24"/>
          <w:szCs w:val="24"/>
        </w:rPr>
        <w:t>e have added two new paragraphs:</w:t>
      </w:r>
    </w:p>
    <w:p w14:paraId="5767A7EE" w14:textId="1ECC03ED" w:rsidR="001608B1" w:rsidRPr="00080047" w:rsidRDefault="00712600" w:rsidP="00451EC7">
      <w:pPr>
        <w:pStyle w:val="a4"/>
        <w:numPr>
          <w:ilvl w:val="0"/>
          <w:numId w:val="9"/>
        </w:num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At the end of the Related Models section, </w:t>
      </w:r>
      <w:r w:rsidR="00B82DDF" w:rsidRPr="00080047">
        <w:rPr>
          <w:rFonts w:ascii="Book Antiqua" w:eastAsia="Times New Roman" w:hAnsi="Book Antiqua"/>
          <w:color w:val="0070C0"/>
          <w:sz w:val="24"/>
          <w:szCs w:val="24"/>
        </w:rPr>
        <w:t>two</w:t>
      </w:r>
      <w:r w:rsidRPr="00080047">
        <w:rPr>
          <w:rFonts w:ascii="Book Antiqua" w:eastAsia="Times New Roman" w:hAnsi="Book Antiqua"/>
          <w:color w:val="0070C0"/>
          <w:sz w:val="24"/>
          <w:szCs w:val="24"/>
        </w:rPr>
        <w:t xml:space="preserve"> paragraph</w:t>
      </w:r>
      <w:r w:rsidR="00B82DDF" w:rsidRPr="00080047">
        <w:rPr>
          <w:rFonts w:ascii="Book Antiqua" w:eastAsia="Times New Roman" w:hAnsi="Book Antiqua"/>
          <w:color w:val="0070C0"/>
          <w:sz w:val="24"/>
          <w:szCs w:val="24"/>
        </w:rPr>
        <w:t>s</w:t>
      </w:r>
      <w:r w:rsidRPr="00080047">
        <w:rPr>
          <w:rFonts w:ascii="Book Antiqua" w:eastAsia="Times New Roman" w:hAnsi="Book Antiqua"/>
          <w:color w:val="0070C0"/>
          <w:sz w:val="24"/>
          <w:szCs w:val="24"/>
        </w:rPr>
        <w:t xml:space="preserve"> argue why bounded confidence, rather than DeGroot-style averaging (Golub &amp; Jackson, 2010, 2012; Cheng et al., 2026) or voter model dynamics</w:t>
      </w:r>
      <w:r w:rsidR="00067FDA" w:rsidRPr="00080047">
        <w:rPr>
          <w:rFonts w:ascii="Book Antiqua" w:eastAsia="Times New Roman" w:hAnsi="Book Antiqua"/>
          <w:color w:val="0070C0"/>
          <w:sz w:val="24"/>
          <w:szCs w:val="24"/>
        </w:rPr>
        <w:t xml:space="preserve">, </w:t>
      </w:r>
      <w:r w:rsidRPr="00080047">
        <w:rPr>
          <w:rFonts w:ascii="Book Antiqua" w:eastAsia="Times New Roman" w:hAnsi="Book Antiqua"/>
          <w:color w:val="0070C0"/>
          <w:sz w:val="24"/>
          <w:szCs w:val="24"/>
        </w:rPr>
        <w:t xml:space="preserve">is </w:t>
      </w:r>
      <w:r w:rsidR="00067FDA" w:rsidRPr="00080047">
        <w:rPr>
          <w:rFonts w:ascii="Book Antiqua" w:eastAsia="Times New Roman" w:hAnsi="Book Antiqua"/>
          <w:color w:val="0070C0"/>
          <w:sz w:val="24"/>
          <w:szCs w:val="24"/>
        </w:rPr>
        <w:t>a</w:t>
      </w:r>
      <w:r w:rsidRPr="00080047">
        <w:rPr>
          <w:rFonts w:ascii="Book Antiqua" w:eastAsia="Times New Roman" w:hAnsi="Book Antiqua"/>
          <w:color w:val="0070C0"/>
          <w:sz w:val="24"/>
          <w:szCs w:val="24"/>
        </w:rPr>
        <w:t xml:space="preserve"> theoretically necessary complement to threshold-based adoption, </w:t>
      </w:r>
      <w:r w:rsidR="00067FDA" w:rsidRPr="00080047">
        <w:rPr>
          <w:rFonts w:ascii="Book Antiqua" w:eastAsia="Times New Roman" w:hAnsi="Book Antiqua"/>
          <w:color w:val="0070C0"/>
          <w:sz w:val="24"/>
          <w:szCs w:val="24"/>
        </w:rPr>
        <w:t>since</w:t>
      </w:r>
      <w:r w:rsidRPr="00080047">
        <w:rPr>
          <w:rFonts w:ascii="Book Antiqua" w:eastAsia="Times New Roman" w:hAnsi="Book Antiqua"/>
          <w:color w:val="0070C0"/>
          <w:sz w:val="24"/>
          <w:szCs w:val="24"/>
        </w:rPr>
        <w:t xml:space="preserve"> only bounded confidence can sustain persistent opinion fragmentation as a long-run equilibrium property</w:t>
      </w:r>
      <w:r w:rsidR="00067FDA" w:rsidRPr="00080047">
        <w:rPr>
          <w:rFonts w:ascii="Book Antiqua" w:eastAsia="Times New Roman" w:hAnsi="Book Antiqua"/>
          <w:color w:val="0070C0"/>
          <w:sz w:val="24"/>
          <w:szCs w:val="24"/>
        </w:rPr>
        <w:t>.</w:t>
      </w:r>
    </w:p>
    <w:p w14:paraId="5E88DF66" w14:textId="19D662F7" w:rsidR="00067FDA" w:rsidRPr="00080047" w:rsidRDefault="00712600" w:rsidP="00451EC7">
      <w:pPr>
        <w:pStyle w:val="a4"/>
        <w:numPr>
          <w:ilvl w:val="0"/>
          <w:numId w:val="9"/>
        </w:num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In the Emergent Properties of the Combined Model subsection </w:t>
      </w:r>
      <w:r w:rsidR="00067FDA"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within the Simulation Model Specifications section</w:t>
      </w:r>
      <w:r w:rsidR="00067FDA"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two </w:t>
      </w:r>
      <w:r w:rsidR="00067FDA" w:rsidRPr="00080047">
        <w:rPr>
          <w:rFonts w:ascii="Book Antiqua" w:eastAsia="Times New Roman" w:hAnsi="Book Antiqua"/>
          <w:color w:val="0070C0"/>
          <w:sz w:val="24"/>
          <w:szCs w:val="24"/>
        </w:rPr>
        <w:t xml:space="preserve">new </w:t>
      </w:r>
      <w:r w:rsidRPr="00080047">
        <w:rPr>
          <w:rFonts w:ascii="Book Antiqua" w:eastAsia="Times New Roman" w:hAnsi="Book Antiqua"/>
          <w:color w:val="0070C0"/>
          <w:sz w:val="24"/>
          <w:szCs w:val="24"/>
        </w:rPr>
        <w:t>paragraphs identify two emergent structural properties</w:t>
      </w:r>
      <w:r w:rsidR="00067FDA" w:rsidRPr="00080047">
        <w:rPr>
          <w:rFonts w:ascii="Book Antiqua" w:eastAsia="Times New Roman" w:hAnsi="Book Antiqua"/>
          <w:color w:val="0070C0"/>
          <w:sz w:val="24"/>
          <w:szCs w:val="24"/>
        </w:rPr>
        <w:t xml:space="preserve"> that are </w:t>
      </w:r>
      <w:r w:rsidRPr="00080047">
        <w:rPr>
          <w:rFonts w:ascii="Book Antiqua" w:eastAsia="Times New Roman" w:hAnsi="Book Antiqua"/>
          <w:color w:val="0070C0"/>
          <w:sz w:val="24"/>
          <w:szCs w:val="24"/>
        </w:rPr>
        <w:t xml:space="preserve">unique to the BCAT framework: a dual-filter mechanism captured by the inequality 0 ≤ GSI ≤ FRI ≤ 1, and an adoption-to-opinion feedback loop in which adopted agents selectively reshape opinion trajectories among bounded-confidence-reachable neighbors (Algorithm 3, Scenarios 1.1 and 2.2). </w:t>
      </w:r>
    </w:p>
    <w:p w14:paraId="35A23B37" w14:textId="09BDBC2A" w:rsidR="005150AD" w:rsidRPr="00080047" w:rsidRDefault="00067FDA"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In addition</w:t>
      </w:r>
      <w:r w:rsidR="00712600"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we have</w:t>
      </w:r>
      <w:r w:rsidR="00712600" w:rsidRPr="00080047">
        <w:rPr>
          <w:rFonts w:ascii="Book Antiqua" w:eastAsia="Times New Roman" w:hAnsi="Book Antiqua"/>
          <w:color w:val="0070C0"/>
          <w:sz w:val="24"/>
          <w:szCs w:val="24"/>
        </w:rPr>
        <w:t xml:space="preserve"> </w:t>
      </w:r>
      <w:r w:rsidRPr="00080047">
        <w:rPr>
          <w:rFonts w:ascii="Book Antiqua" w:eastAsia="Times New Roman" w:hAnsi="Book Antiqua"/>
          <w:color w:val="0070C0"/>
          <w:sz w:val="24"/>
          <w:szCs w:val="24"/>
        </w:rPr>
        <w:t xml:space="preserve">added </w:t>
      </w:r>
      <w:r w:rsidR="00712600" w:rsidRPr="00080047">
        <w:rPr>
          <w:rFonts w:ascii="Book Antiqua" w:eastAsia="Times New Roman" w:hAnsi="Book Antiqua"/>
          <w:color w:val="0070C0"/>
          <w:sz w:val="24"/>
          <w:szCs w:val="24"/>
        </w:rPr>
        <w:t>References to Golub &amp; Jackson (2010, 2012), Cheng et al. (2026), and McPherson et al. (2001).</w:t>
      </w:r>
    </w:p>
    <w:p w14:paraId="62E4B2D2"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2BC66A59" w14:textId="54B946F9" w:rsidR="005150AD" w:rsidRPr="00963EB3" w:rsidRDefault="00000000" w:rsidP="006B7A78">
      <w:pPr>
        <w:pStyle w:val="2"/>
        <w:spacing w:before="0" w:afterLines="50" w:after="120" w:line="360" w:lineRule="auto"/>
        <w:rPr>
          <w:rFonts w:ascii="Book Antiqua" w:hAnsi="Book Antiqua"/>
        </w:rPr>
      </w:pPr>
      <w:r w:rsidRPr="00963EB3">
        <w:rPr>
          <w:rFonts w:ascii="Book Antiqua" w:hAnsi="Book Antiqua"/>
        </w:rPr>
        <w:lastRenderedPageBreak/>
        <w:t>R1-2. The Wedge Between Opinion and Adoption: Key Mechanisms</w:t>
      </w:r>
    </w:p>
    <w:p w14:paraId="75EAA91A" w14:textId="77777777" w:rsidR="005150AD" w:rsidRPr="00AB242D" w:rsidRDefault="00000000" w:rsidP="006B7A78">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 most interesting aspect of the paper is the divergence between opinion dynamics and adoption behavior. From the current model, I can identify at least two distinct channels. The first is a coordination failure channel: even when all agents hold positive attitudes, adoption requires a critical mass of neighbors to have already adopted, and this critical mass may fail to materialize if early adopters are too dispersed across the network. The second is an opinion clustering channel: bounded confidence can partition the population into opinion clusters, some of which settle below the positive-attitude threshold. It would be valuable for the authors to disentangle these channels more carefully.</w:t>
      </w:r>
    </w:p>
    <w:p w14:paraId="670A38EB" w14:textId="77777777" w:rsidR="00451EC7" w:rsidRPr="00080047" w:rsidRDefault="00451EC7" w:rsidP="00451EC7">
      <w:pPr>
        <w:pStyle w:val="2"/>
        <w:spacing w:before="0" w:afterLines="50" w:after="120" w:line="360" w:lineRule="auto"/>
        <w:rPr>
          <w:rFonts w:ascii="Book Antiqua" w:hAnsi="Book Antiqua"/>
          <w:color w:val="C00000"/>
        </w:rPr>
      </w:pPr>
      <w:r w:rsidRPr="00080047">
        <w:rPr>
          <w:rFonts w:ascii="Book Antiqua" w:hAnsi="Book Antiqua"/>
          <w:color w:val="C00000"/>
        </w:rPr>
        <w:t xml:space="preserve">Response: </w:t>
      </w:r>
    </w:p>
    <w:p w14:paraId="30E5FCDB" w14:textId="5F0DBE52" w:rsidR="00067FDA" w:rsidRPr="00080047" w:rsidRDefault="00067FDA"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Based on this suggestion, we designed three controlled mechanism decomposition experiments (MD-A, MD-B, MD-C) within the BCAT simulation framework, using parameter configurations that selectively disable one channel while preserving the other. We report results in a new subsection titled “Mechanism decomposition: Coordination failure versus opinion clustering</w:t>
      </w:r>
      <w:r w:rsidR="0088750E"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and </w:t>
      </w:r>
      <w:r w:rsidR="0088750E" w:rsidRPr="00080047">
        <w:rPr>
          <w:rFonts w:ascii="Book Antiqua" w:eastAsia="Times New Roman" w:hAnsi="Book Antiqua"/>
          <w:color w:val="0070C0"/>
          <w:sz w:val="24"/>
          <w:szCs w:val="24"/>
        </w:rPr>
        <w:t xml:space="preserve">have added </w:t>
      </w:r>
      <w:r w:rsidRPr="00080047">
        <w:rPr>
          <w:rFonts w:ascii="Book Antiqua" w:eastAsia="Times New Roman" w:hAnsi="Book Antiqua"/>
          <w:color w:val="0070C0"/>
          <w:sz w:val="24"/>
          <w:szCs w:val="24"/>
        </w:rPr>
        <w:t>a</w:t>
      </w:r>
      <w:r w:rsidR="00FF425B" w:rsidRPr="00080047">
        <w:rPr>
          <w:rFonts w:ascii="Book Antiqua" w:eastAsia="Times New Roman" w:hAnsi="Book Antiqua"/>
          <w:color w:val="0070C0"/>
          <w:sz w:val="24"/>
          <w:szCs w:val="24"/>
        </w:rPr>
        <w:t xml:space="preserve"> new</w:t>
      </w:r>
      <w:r w:rsidRPr="00080047">
        <w:rPr>
          <w:rFonts w:ascii="Book Antiqua" w:eastAsia="Times New Roman" w:hAnsi="Book Antiqua"/>
          <w:color w:val="0070C0"/>
          <w:sz w:val="24"/>
          <w:szCs w:val="24"/>
        </w:rPr>
        <w:t xml:space="preserve"> accompanying figure (Fig 10). </w:t>
      </w:r>
    </w:p>
    <w:p w14:paraId="5B303339" w14:textId="3B1ABF23" w:rsidR="005150AD" w:rsidRPr="00080047" w:rsidRDefault="005375E2"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D</w:t>
      </w:r>
      <w:r w:rsidR="006620F5" w:rsidRPr="00080047">
        <w:rPr>
          <w:rFonts w:ascii="Book Antiqua" w:eastAsia="Times New Roman" w:hAnsi="Book Antiqua"/>
          <w:color w:val="0070C0"/>
          <w:sz w:val="24"/>
          <w:szCs w:val="24"/>
        </w:rPr>
        <w:t xml:space="preserve">etails for </w:t>
      </w:r>
      <w:r w:rsidRPr="00080047">
        <w:rPr>
          <w:rFonts w:ascii="Book Antiqua" w:eastAsia="Times New Roman" w:hAnsi="Book Antiqua"/>
          <w:color w:val="0070C0"/>
          <w:sz w:val="24"/>
          <w:szCs w:val="24"/>
        </w:rPr>
        <w:t xml:space="preserve">the </w:t>
      </w:r>
      <w:r w:rsidR="006620F5" w:rsidRPr="00080047">
        <w:rPr>
          <w:rFonts w:ascii="Book Antiqua" w:eastAsia="Times New Roman" w:hAnsi="Book Antiqua"/>
          <w:color w:val="0070C0"/>
          <w:sz w:val="24"/>
          <w:szCs w:val="24"/>
        </w:rPr>
        <w:t>three controlled experiments</w:t>
      </w:r>
      <w:r w:rsidRPr="00080047">
        <w:rPr>
          <w:rFonts w:ascii="Book Antiqua" w:eastAsia="Times New Roman" w:hAnsi="Book Antiqua"/>
          <w:color w:val="0070C0"/>
          <w:sz w:val="24"/>
          <w:szCs w:val="24"/>
        </w:rPr>
        <w:t xml:space="preserve"> include</w:t>
      </w:r>
      <w:r w:rsidR="006620F5" w:rsidRPr="00080047">
        <w:rPr>
          <w:rFonts w:ascii="Book Antiqua" w:eastAsia="Times New Roman" w:hAnsi="Book Antiqua"/>
          <w:color w:val="0070C0"/>
          <w:sz w:val="24"/>
          <w:szCs w:val="24"/>
        </w:rPr>
        <w:t xml:space="preserve"> 30,000 total runs across regular lattice and small-world topologies. </w:t>
      </w:r>
      <w:r w:rsidRPr="00080047">
        <w:rPr>
          <w:rFonts w:ascii="Book Antiqua" w:eastAsia="Times New Roman" w:hAnsi="Book Antiqua"/>
          <w:color w:val="0070C0"/>
          <w:sz w:val="24"/>
          <w:szCs w:val="24"/>
        </w:rPr>
        <w:t>T</w:t>
      </w:r>
      <w:r w:rsidR="006620F5" w:rsidRPr="00080047">
        <w:rPr>
          <w:rFonts w:ascii="Book Antiqua" w:eastAsia="Times New Roman" w:hAnsi="Book Antiqua"/>
          <w:color w:val="0070C0"/>
          <w:sz w:val="24"/>
          <w:szCs w:val="24"/>
        </w:rPr>
        <w:t>hree key findings</w:t>
      </w:r>
      <w:r w:rsidRPr="00080047">
        <w:rPr>
          <w:rFonts w:ascii="Book Antiqua" w:eastAsia="Times New Roman" w:hAnsi="Book Antiqua"/>
          <w:color w:val="0070C0"/>
          <w:sz w:val="24"/>
          <w:szCs w:val="24"/>
        </w:rPr>
        <w:t xml:space="preserve"> are</w:t>
      </w:r>
      <w:r w:rsidR="006620F5" w:rsidRPr="00080047">
        <w:rPr>
          <w:rFonts w:ascii="Book Antiqua" w:eastAsia="Times New Roman" w:hAnsi="Book Antiqua"/>
          <w:color w:val="0070C0"/>
          <w:sz w:val="24"/>
          <w:szCs w:val="24"/>
        </w:rPr>
        <w:t xml:space="preserve"> (1) the MD-A experiment reveals a phase transition in coordination failure between avg-of-thresholds = 30 (GSI = 0.976) and 40 (GSI = 0.026); (2) </w:t>
      </w:r>
      <w:r w:rsidR="002E1DA3" w:rsidRPr="002E1DA3">
        <w:rPr>
          <w:rFonts w:ascii="Book Antiqua" w:eastAsia="Times New Roman" w:hAnsi="Book Antiqua"/>
          <w:color w:val="0070C0"/>
          <w:sz w:val="24"/>
          <w:szCs w:val="24"/>
        </w:rPr>
        <w:t>the MD-B experiment shows that opinion clustering alone reduced the FRI value to 0.600 in the regular lattice and 0.618 in the small-world network</w:t>
      </w:r>
      <w:r w:rsidR="006620F5" w:rsidRPr="00080047">
        <w:rPr>
          <w:rFonts w:ascii="Book Antiqua" w:eastAsia="Times New Roman" w:hAnsi="Book Antiqua"/>
          <w:color w:val="0070C0"/>
          <w:sz w:val="24"/>
          <w:szCs w:val="24"/>
        </w:rPr>
        <w:t xml:space="preserve">; </w:t>
      </w:r>
      <w:r w:rsidR="00493642" w:rsidRPr="00080047">
        <w:rPr>
          <w:rFonts w:ascii="Book Antiqua" w:eastAsia="Times New Roman" w:hAnsi="Book Antiqua"/>
          <w:color w:val="0070C0"/>
          <w:sz w:val="24"/>
          <w:szCs w:val="24"/>
        </w:rPr>
        <w:t xml:space="preserve">and </w:t>
      </w:r>
      <w:r w:rsidR="006620F5" w:rsidRPr="00080047">
        <w:rPr>
          <w:rFonts w:ascii="Book Antiqua" w:eastAsia="Times New Roman" w:hAnsi="Book Antiqua"/>
          <w:color w:val="0070C0"/>
          <w:sz w:val="24"/>
          <w:szCs w:val="24"/>
        </w:rPr>
        <w:t xml:space="preserve">(3) </w:t>
      </w:r>
      <w:r w:rsidR="00493642" w:rsidRPr="00080047">
        <w:rPr>
          <w:rFonts w:ascii="Book Antiqua" w:eastAsia="Times New Roman" w:hAnsi="Book Antiqua"/>
          <w:color w:val="0070C0"/>
          <w:sz w:val="24"/>
          <w:szCs w:val="24"/>
        </w:rPr>
        <w:t xml:space="preserve">the </w:t>
      </w:r>
      <w:r w:rsidR="006620F5" w:rsidRPr="00080047">
        <w:rPr>
          <w:rFonts w:ascii="Book Antiqua" w:eastAsia="Times New Roman" w:hAnsi="Book Antiqua"/>
          <w:color w:val="0070C0"/>
          <w:sz w:val="24"/>
          <w:szCs w:val="24"/>
        </w:rPr>
        <w:t xml:space="preserve">MD-C </w:t>
      </w:r>
      <w:r w:rsidR="00493642" w:rsidRPr="00080047">
        <w:rPr>
          <w:rFonts w:ascii="Book Antiqua" w:eastAsia="Times New Roman" w:hAnsi="Book Antiqua"/>
          <w:color w:val="0070C0"/>
          <w:sz w:val="24"/>
          <w:szCs w:val="24"/>
        </w:rPr>
        <w:t xml:space="preserve">experiment </w:t>
      </w:r>
      <w:r w:rsidR="006620F5" w:rsidRPr="00080047">
        <w:rPr>
          <w:rFonts w:ascii="Book Antiqua" w:eastAsia="Times New Roman" w:hAnsi="Book Antiqua"/>
          <w:color w:val="0070C0"/>
          <w:sz w:val="24"/>
          <w:szCs w:val="24"/>
        </w:rPr>
        <w:t xml:space="preserve">demonstrates that the testimony effect recovers FRI to ≈1.0, </w:t>
      </w:r>
      <w:r w:rsidR="00493642" w:rsidRPr="00080047">
        <w:rPr>
          <w:rFonts w:ascii="Book Antiqua" w:eastAsia="Times New Roman" w:hAnsi="Book Antiqua"/>
          <w:color w:val="0070C0"/>
          <w:sz w:val="24"/>
          <w:szCs w:val="24"/>
        </w:rPr>
        <w:t xml:space="preserve">thus </w:t>
      </w:r>
      <w:r w:rsidR="006620F5" w:rsidRPr="00080047">
        <w:rPr>
          <w:rFonts w:ascii="Book Antiqua" w:eastAsia="Times New Roman" w:hAnsi="Book Antiqua"/>
          <w:color w:val="0070C0"/>
          <w:sz w:val="24"/>
          <w:szCs w:val="24"/>
        </w:rPr>
        <w:t>making coordination failure the dominant channel. A new Fig 10 presents the two-panel decomposition</w:t>
      </w:r>
      <w:r w:rsidR="00493642" w:rsidRPr="00080047">
        <w:rPr>
          <w:rFonts w:ascii="Book Antiqua" w:eastAsia="Times New Roman" w:hAnsi="Book Antiqua"/>
          <w:color w:val="0070C0"/>
          <w:sz w:val="24"/>
          <w:szCs w:val="24"/>
        </w:rPr>
        <w:t>, and a</w:t>
      </w:r>
      <w:r w:rsidR="006620F5" w:rsidRPr="00080047">
        <w:rPr>
          <w:rFonts w:ascii="Book Antiqua" w:eastAsia="Times New Roman" w:hAnsi="Book Antiqua"/>
          <w:color w:val="0070C0"/>
          <w:sz w:val="24"/>
          <w:szCs w:val="24"/>
        </w:rPr>
        <w:t xml:space="preserve"> new paragraph in the Discussion</w:t>
      </w:r>
      <w:r w:rsidR="00B20B8A" w:rsidRPr="00080047">
        <w:rPr>
          <w:rFonts w:ascii="Book Antiqua" w:eastAsia="Times New Roman" w:hAnsi="Book Antiqua"/>
          <w:color w:val="0070C0"/>
          <w:sz w:val="24"/>
          <w:szCs w:val="24"/>
        </w:rPr>
        <w:t xml:space="preserve"> section</w:t>
      </w:r>
      <w:r w:rsidR="006620F5" w:rsidRPr="00080047">
        <w:rPr>
          <w:rFonts w:ascii="Book Antiqua" w:eastAsia="Times New Roman" w:hAnsi="Book Antiqua"/>
          <w:color w:val="0070C0"/>
          <w:sz w:val="24"/>
          <w:szCs w:val="24"/>
        </w:rPr>
        <w:t xml:space="preserve"> </w:t>
      </w:r>
      <w:r w:rsidR="00B20B8A" w:rsidRPr="00080047">
        <w:rPr>
          <w:rFonts w:ascii="Book Antiqua" w:eastAsia="Times New Roman" w:hAnsi="Book Antiqua"/>
          <w:color w:val="0070C0"/>
          <w:sz w:val="24"/>
          <w:szCs w:val="24"/>
        </w:rPr>
        <w:t>describes</w:t>
      </w:r>
      <w:r w:rsidR="006620F5" w:rsidRPr="00080047">
        <w:rPr>
          <w:rFonts w:ascii="Book Antiqua" w:eastAsia="Times New Roman" w:hAnsi="Book Antiqua"/>
          <w:color w:val="0070C0"/>
          <w:sz w:val="24"/>
          <w:szCs w:val="24"/>
        </w:rPr>
        <w:t xml:space="preserve"> the intervention implications of the two channels.</w:t>
      </w:r>
    </w:p>
    <w:p w14:paraId="59D2A9D7"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6329E64D" w14:textId="7AACFF7F" w:rsidR="005150AD" w:rsidRPr="00963EB3" w:rsidRDefault="00000000" w:rsidP="000D4D69">
      <w:pPr>
        <w:pStyle w:val="2"/>
        <w:spacing w:before="0" w:afterLines="50" w:after="120" w:line="360" w:lineRule="auto"/>
        <w:rPr>
          <w:rFonts w:ascii="Book Antiqua" w:hAnsi="Book Antiqua"/>
        </w:rPr>
      </w:pPr>
      <w:r w:rsidRPr="00963EB3">
        <w:rPr>
          <w:rFonts w:ascii="Book Antiqua" w:hAnsi="Book Antiqua"/>
        </w:rPr>
        <w:lastRenderedPageBreak/>
        <w:t>R1-3. Empirical Grounding</w:t>
      </w:r>
    </w:p>
    <w:p w14:paraId="5974F495" w14:textId="77777777" w:rsidR="005150AD" w:rsidRPr="00AB242D" w:rsidRDefault="00000000" w:rsidP="000D4D69">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 paper’s motivating examples—the Palm handheld, a Taiwanese film, and service-oriented architecture—are mentioned briefly in the introduction but not revisited. Given that the opinion–adoption wedge is the paper’s central phenomenon, the empirical case for its relevance deserves fuller development.</w:t>
      </w:r>
    </w:p>
    <w:p w14:paraId="7177BCFC"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76D7E572" w14:textId="18797E60" w:rsidR="005150AD" w:rsidRPr="00080047" w:rsidRDefault="00B20B8A"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In response to this comment we</w:t>
      </w:r>
      <w:r w:rsidR="005410F2" w:rsidRPr="00080047">
        <w:rPr>
          <w:rFonts w:ascii="Book Antiqua" w:eastAsia="Times New Roman" w:hAnsi="Book Antiqua"/>
          <w:color w:val="0070C0"/>
          <w:sz w:val="24"/>
          <w:szCs w:val="24"/>
        </w:rPr>
        <w:t xml:space="preserve"> have</w:t>
      </w:r>
      <w:r w:rsidRPr="00080047">
        <w:rPr>
          <w:rFonts w:ascii="Book Antiqua" w:eastAsia="Times New Roman" w:hAnsi="Book Antiqua"/>
          <w:color w:val="0070C0"/>
          <w:sz w:val="24"/>
          <w:szCs w:val="24"/>
        </w:rPr>
        <w:t xml:space="preserve"> </w:t>
      </w:r>
      <w:r w:rsidR="005410F2" w:rsidRPr="00080047">
        <w:rPr>
          <w:rFonts w:ascii="Book Antiqua" w:eastAsia="Times New Roman" w:hAnsi="Book Antiqua"/>
          <w:color w:val="0070C0"/>
          <w:sz w:val="24"/>
          <w:szCs w:val="24"/>
        </w:rPr>
        <w:t>added</w:t>
      </w:r>
      <w:r w:rsidRPr="00080047">
        <w:rPr>
          <w:rFonts w:ascii="Book Antiqua" w:eastAsia="Times New Roman" w:hAnsi="Book Antiqua"/>
          <w:color w:val="0070C0"/>
          <w:sz w:val="24"/>
          <w:szCs w:val="24"/>
        </w:rPr>
        <w:t xml:space="preserve"> case-specific interpretive paragraphs to the Discussion section</w:t>
      </w:r>
      <w:r w:rsidR="005410F2" w:rsidRPr="00080047">
        <w:rPr>
          <w:rFonts w:ascii="Book Antiqua" w:eastAsia="Times New Roman" w:hAnsi="Book Antiqua"/>
          <w:color w:val="0070C0"/>
          <w:sz w:val="24"/>
          <w:szCs w:val="24"/>
        </w:rPr>
        <w:t xml:space="preserve"> following</w:t>
      </w:r>
      <w:r w:rsidRPr="00080047">
        <w:rPr>
          <w:rFonts w:ascii="Book Antiqua" w:eastAsia="Times New Roman" w:hAnsi="Book Antiqua"/>
          <w:color w:val="0070C0"/>
          <w:sz w:val="24"/>
          <w:szCs w:val="24"/>
        </w:rPr>
        <w:t xml:space="preserve"> the parametric discussion</w:t>
      </w:r>
      <w:r w:rsidR="005410F2" w:rsidRPr="00080047">
        <w:rPr>
          <w:rFonts w:ascii="Book Antiqua" w:eastAsia="Times New Roman" w:hAnsi="Book Antiqua"/>
          <w:color w:val="0070C0"/>
          <w:sz w:val="24"/>
          <w:szCs w:val="24"/>
        </w:rPr>
        <w:t>s</w:t>
      </w:r>
      <w:r w:rsidRPr="00080047">
        <w:rPr>
          <w:rFonts w:ascii="Book Antiqua" w:eastAsia="Times New Roman" w:hAnsi="Book Antiqua"/>
          <w:color w:val="0070C0"/>
          <w:sz w:val="24"/>
          <w:szCs w:val="24"/>
        </w:rPr>
        <w:t xml:space="preserve"> most relevant to each case. Each paragraph maps the historically documented features of those cases onto BCAT model parameters and simulation outcomes. We do not claim formal calibration, but ground the theoretical interpretation in the known empirical characteristics of each example. No new simulations were required; these additions are interpretive elaborations based on existing sensitivity analysis results.</w:t>
      </w:r>
    </w:p>
    <w:p w14:paraId="4239B425" w14:textId="10C47637" w:rsidR="005150AD" w:rsidRPr="00451EC7" w:rsidRDefault="005410F2"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The Palm hand-held device discussion follows the avg-of-thresholds paragraph, with the mapping of coordination failure on regular lattice topology shown in Fig 5. The Taiwanese film example (</w:t>
      </w:r>
      <w:r w:rsidRPr="00451EC7">
        <w:rPr>
          <w:rFonts w:ascii="Book Antiqua" w:eastAsia="Times New Roman" w:hAnsi="Book Antiqua"/>
          <w:color w:val="0070C0"/>
          <w:sz w:val="24"/>
          <w:szCs w:val="24"/>
        </w:rPr>
        <w:t>The Bold, The Corrupt and The Beautiful</w:t>
      </w:r>
      <w:r w:rsidRPr="00080047">
        <w:rPr>
          <w:rFonts w:ascii="Book Antiqua" w:eastAsia="Times New Roman" w:hAnsi="Book Antiqua"/>
          <w:color w:val="0070C0"/>
          <w:sz w:val="24"/>
          <w:szCs w:val="24"/>
        </w:rPr>
        <w:t xml:space="preserve">) is discussed after the avg-of-attitudes paragraph, mapping the attitude baseline gap to the adoption plateau in Figs 8c-d. The SOA example is discussed after the bounded-confidence paragraph, mapping the professional vocabulary gap to bounded-confidence clustering failure in Figs 8a-b, </w:t>
      </w:r>
      <w:r w:rsidR="00A756FD" w:rsidRPr="00080047">
        <w:rPr>
          <w:rFonts w:ascii="Book Antiqua" w:eastAsia="Times New Roman" w:hAnsi="Book Antiqua"/>
          <w:color w:val="0070C0"/>
          <w:sz w:val="24"/>
          <w:szCs w:val="24"/>
        </w:rPr>
        <w:t xml:space="preserve">and </w:t>
      </w:r>
      <w:r w:rsidRPr="00080047">
        <w:rPr>
          <w:rFonts w:ascii="Book Antiqua" w:eastAsia="Times New Roman" w:hAnsi="Book Antiqua"/>
          <w:color w:val="0070C0"/>
          <w:sz w:val="24"/>
          <w:szCs w:val="24"/>
        </w:rPr>
        <w:t>presenting the 2008 crisis as an example of exogenous avg-of-attitudes shock. A reference to Erl (2005) has been added for scholarly grounding of the SOA case.</w:t>
      </w:r>
    </w:p>
    <w:p w14:paraId="5027E93D"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3AC0B4FA" w14:textId="01CA7CF1" w:rsidR="005150AD" w:rsidRPr="00963EB3" w:rsidRDefault="00000000" w:rsidP="004813C3">
      <w:pPr>
        <w:pStyle w:val="2"/>
        <w:spacing w:before="0" w:afterLines="50" w:after="120" w:line="360" w:lineRule="auto"/>
        <w:rPr>
          <w:rFonts w:ascii="Book Antiqua" w:hAnsi="Book Antiqua"/>
        </w:rPr>
      </w:pPr>
      <w:r w:rsidRPr="00963EB3">
        <w:rPr>
          <w:rFonts w:ascii="Book Antiqua" w:hAnsi="Book Antiqua"/>
        </w:rPr>
        <w:lastRenderedPageBreak/>
        <w:t>R1-4. Alternative Theories and Distinguishing Predictions</w:t>
      </w:r>
    </w:p>
    <w:p w14:paraId="0DEBA3E1" w14:textId="77777777" w:rsidR="005150AD" w:rsidRPr="00AB242D" w:rsidRDefault="00000000" w:rsidP="004813C3">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Other theories can also account for the opinion–adoption gap: rational herding and information cascades (Banerjee 1992), network externalities and coordination games (Katz and Shapiro 1985), and global games with heterogeneous thresholds (Morris and Shin 2003). Each mechanism implies different comparative statics. Discussing these distinctions, and suggesting how experiments or empirical tests might discriminate between them, would significantly enhance the paper’s contribution.</w:t>
      </w:r>
    </w:p>
    <w:p w14:paraId="09912F54"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33A1C66C" w14:textId="354CC600" w:rsidR="005150AD" w:rsidRPr="00080047" w:rsidRDefault="000707E9"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In response to this comment we added six paragraphs to the Discussion section that systematically compares the BCAT model with the three alternative frameworks identified by the reviewer</w:t>
      </w:r>
      <w:r w:rsidR="00020808"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and articulates the structural differences in mechanism, comparative statics, and empirical identifiability. We also discuss how future researchers can discriminate among these alternative frameworks, using time-series attitude data from sources such as social media sentiment analyses. Note that the BCAT model is the only one that generates detailed predictions about the temporal trajectory of attitude evolution prior to adoption outcomes.</w:t>
      </w:r>
    </w:p>
    <w:p w14:paraId="72CED77E" w14:textId="3F72B501" w:rsidR="005150AD" w:rsidRPr="00080047" w:rsidRDefault="000707E9"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The new paragraphs discuss several key distinguishing predictions. (1) Compared to Banerjee (1992), BCAT produces S-curve adoption (Figs 4, 6a) rather than step-function cascades, with social influences operating through transmission rather than Bayesian inference. (2) Compared to Katz &amp; Shapiro (1985), BCAT predicts larger adoption gaps in clustered networks (see </w:t>
      </w:r>
      <w:r w:rsidR="00B839E3" w:rsidRPr="00080047">
        <w:rPr>
          <w:rFonts w:ascii="Book Antiqua" w:eastAsia="Times New Roman" w:hAnsi="Book Antiqua"/>
          <w:color w:val="0070C0"/>
          <w:sz w:val="24"/>
          <w:szCs w:val="24"/>
        </w:rPr>
        <w:t xml:space="preserve">the </w:t>
      </w:r>
      <w:r w:rsidRPr="00080047">
        <w:rPr>
          <w:rFonts w:ascii="Book Antiqua" w:eastAsia="Times New Roman" w:hAnsi="Book Antiqua"/>
          <w:color w:val="0070C0"/>
          <w:sz w:val="24"/>
          <w:szCs w:val="24"/>
        </w:rPr>
        <w:t>Feature Importance data</w:t>
      </w:r>
      <w:r w:rsidR="00B839E3" w:rsidRPr="00080047">
        <w:rPr>
          <w:rFonts w:ascii="Book Antiqua" w:eastAsia="Times New Roman" w:hAnsi="Book Antiqua"/>
          <w:color w:val="0070C0"/>
          <w:sz w:val="24"/>
          <w:szCs w:val="24"/>
        </w:rPr>
        <w:t xml:space="preserve"> in Table 3</w:t>
      </w:r>
      <w:r w:rsidRPr="00080047">
        <w:rPr>
          <w:rFonts w:ascii="Book Antiqua" w:eastAsia="Times New Roman" w:hAnsi="Book Antiqua"/>
          <w:color w:val="0070C0"/>
          <w:sz w:val="24"/>
          <w:szCs w:val="24"/>
        </w:rPr>
        <w:t>), opposite o</w:t>
      </w:r>
      <w:r w:rsidR="00B839E3" w:rsidRPr="00080047">
        <w:rPr>
          <w:rFonts w:ascii="Book Antiqua" w:eastAsia="Times New Roman" w:hAnsi="Book Antiqua"/>
          <w:color w:val="0070C0"/>
          <w:sz w:val="24"/>
          <w:szCs w:val="24"/>
        </w:rPr>
        <w:t>f</w:t>
      </w:r>
      <w:r w:rsidRPr="00080047">
        <w:rPr>
          <w:rFonts w:ascii="Book Antiqua" w:eastAsia="Times New Roman" w:hAnsi="Book Antiqua"/>
          <w:color w:val="0070C0"/>
          <w:sz w:val="24"/>
          <w:szCs w:val="24"/>
        </w:rPr>
        <w:t xml:space="preserve"> coordination game predictions. (3) Compared to Morris &amp; Shin (2003), BCAT does not contain a higher-order belief mechanism</w:t>
      </w:r>
      <w:r w:rsidR="00FF7CDF"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when FRI = 1.0 and thresholds are low, adoption necessarily occurs (confirmed by MD-A experiments). References to Banerjee (1992), Katz &amp; Shapiro (1985), and Morris &amp; Shin (2003) have been added.</w:t>
      </w:r>
    </w:p>
    <w:p w14:paraId="3C2C92C1"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042DE800" w14:textId="3D17267E" w:rsidR="005150AD" w:rsidRPr="00963EB3" w:rsidRDefault="00000000" w:rsidP="004813C3">
      <w:pPr>
        <w:pStyle w:val="2"/>
        <w:spacing w:before="0" w:afterLines="50" w:after="120" w:line="360" w:lineRule="auto"/>
        <w:rPr>
          <w:rFonts w:ascii="Book Antiqua" w:hAnsi="Book Antiqua"/>
        </w:rPr>
      </w:pPr>
      <w:r w:rsidRPr="00963EB3">
        <w:rPr>
          <w:rFonts w:ascii="Book Antiqua" w:hAnsi="Book Antiqua"/>
        </w:rPr>
        <w:lastRenderedPageBreak/>
        <w:t>R1-Minor. Reference Error: Gong et al. (2020)</w:t>
      </w:r>
    </w:p>
    <w:p w14:paraId="7029F8C7" w14:textId="77777777" w:rsidR="005150AD" w:rsidRPr="00AB242D" w:rsidRDefault="00000000" w:rsidP="004813C3">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 Gong et al. (2020) reference contains what appears to be a corrupted title: “Hence, the source code used for this project may require significant modification to be applied to new studies.”</w:t>
      </w:r>
    </w:p>
    <w:p w14:paraId="21D167C9"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1539CDA7" w14:textId="0F84136C" w:rsidR="005150AD" w:rsidRPr="00451EC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We confirmed that the </w:t>
      </w:r>
      <w:r w:rsidR="00FF7CDF" w:rsidRPr="00080047">
        <w:rPr>
          <w:rFonts w:ascii="Book Antiqua" w:eastAsia="Times New Roman" w:hAnsi="Book Antiqua"/>
          <w:color w:val="0070C0"/>
          <w:sz w:val="24"/>
          <w:szCs w:val="24"/>
        </w:rPr>
        <w:t xml:space="preserve">title cited by this reviewer </w:t>
      </w:r>
      <w:r w:rsidRPr="00080047">
        <w:rPr>
          <w:rFonts w:ascii="Book Antiqua" w:eastAsia="Times New Roman" w:hAnsi="Book Antiqua"/>
          <w:color w:val="0070C0"/>
          <w:sz w:val="24"/>
          <w:szCs w:val="24"/>
        </w:rPr>
        <w:t>is a technical annotation from the BCAT simulation codebase that was inadvertently introduced into the title field during manuscript preparation. Th</w:t>
      </w:r>
      <w:r w:rsidR="00FF7CDF" w:rsidRPr="00080047">
        <w:rPr>
          <w:rFonts w:ascii="Book Antiqua" w:eastAsia="Times New Roman" w:hAnsi="Book Antiqua"/>
          <w:color w:val="0070C0"/>
          <w:sz w:val="24"/>
          <w:szCs w:val="24"/>
        </w:rPr>
        <w:t>us, th</w:t>
      </w:r>
      <w:r w:rsidRPr="00080047">
        <w:rPr>
          <w:rFonts w:ascii="Book Antiqua" w:eastAsia="Times New Roman" w:hAnsi="Book Antiqua"/>
          <w:color w:val="0070C0"/>
          <w:sz w:val="24"/>
          <w:szCs w:val="24"/>
        </w:rPr>
        <w:t>is is a field contamination error</w:t>
      </w:r>
      <w:r w:rsidR="00FF7CDF" w:rsidRPr="00080047">
        <w:rPr>
          <w:rFonts w:ascii="Book Antiqua" w:eastAsia="Times New Roman" w:hAnsi="Book Antiqua"/>
          <w:color w:val="0070C0"/>
          <w:sz w:val="24"/>
          <w:szCs w:val="24"/>
        </w:rPr>
        <w:t xml:space="preserve"> rather than</w:t>
      </w:r>
      <w:r w:rsidRPr="00080047">
        <w:rPr>
          <w:rFonts w:ascii="Book Antiqua" w:eastAsia="Times New Roman" w:hAnsi="Book Antiqua"/>
          <w:color w:val="0070C0"/>
          <w:sz w:val="24"/>
          <w:szCs w:val="24"/>
        </w:rPr>
        <w:t xml:space="preserve"> an incorrect citation. The correct title is “A loud but harsh voice: The impact of celebrity endorsement on online WOM,” published in </w:t>
      </w:r>
      <w:r w:rsidRPr="00451EC7">
        <w:rPr>
          <w:rFonts w:ascii="Book Antiqua" w:eastAsia="Times New Roman" w:hAnsi="Book Antiqua"/>
          <w:color w:val="0070C0"/>
          <w:sz w:val="24"/>
          <w:szCs w:val="24"/>
        </w:rPr>
        <w:t>Journal of Management Science</w:t>
      </w:r>
      <w:r w:rsidRPr="00080047">
        <w:rPr>
          <w:rFonts w:ascii="Book Antiqua" w:eastAsia="Times New Roman" w:hAnsi="Book Antiqua"/>
          <w:color w:val="0070C0"/>
          <w:sz w:val="24"/>
          <w:szCs w:val="24"/>
        </w:rPr>
        <w:t xml:space="preserve">, 2020, volume 33, issue 2, pages 114–126. </w:t>
      </w:r>
      <w:r w:rsidR="00FF7CDF" w:rsidRPr="00080047">
        <w:rPr>
          <w:rFonts w:ascii="Book Antiqua" w:eastAsia="Times New Roman" w:hAnsi="Book Antiqua"/>
          <w:color w:val="0070C0"/>
          <w:sz w:val="24"/>
          <w:szCs w:val="24"/>
        </w:rPr>
        <w:t>The reference entry for Gong et al. (2020) has been corrected with the verified title and complete bibliographic information.</w:t>
      </w:r>
    </w:p>
    <w:p w14:paraId="5A4EED6C" w14:textId="77777777" w:rsidR="005150AD" w:rsidRPr="00963EB3" w:rsidRDefault="00000000">
      <w:pPr>
        <w:rPr>
          <w:rFonts w:ascii="Book Antiqua" w:hAnsi="Book Antiqua"/>
        </w:rPr>
      </w:pPr>
      <w:r w:rsidRPr="00963EB3">
        <w:rPr>
          <w:rFonts w:ascii="Book Antiqua" w:hAnsi="Book Antiqua"/>
        </w:rPr>
        <w:br w:type="page"/>
      </w:r>
    </w:p>
    <w:p w14:paraId="20F73DCD" w14:textId="0603A230" w:rsidR="005150AD" w:rsidRPr="00E05714" w:rsidRDefault="00000000" w:rsidP="00AB242D">
      <w:pPr>
        <w:pStyle w:val="1"/>
        <w:jc w:val="center"/>
        <w:rPr>
          <w:rFonts w:ascii="Book Antiqua" w:hAnsi="Book Antiqua"/>
          <w:sz w:val="40"/>
          <w:szCs w:val="40"/>
        </w:rPr>
      </w:pPr>
      <w:r w:rsidRPr="00E05714">
        <w:rPr>
          <w:rFonts w:ascii="Book Antiqua" w:hAnsi="Book Antiqua"/>
          <w:sz w:val="40"/>
          <w:szCs w:val="40"/>
        </w:rPr>
        <w:lastRenderedPageBreak/>
        <w:t>Response</w:t>
      </w:r>
      <w:r w:rsidR="000F7394" w:rsidRPr="00E05714">
        <w:rPr>
          <w:rFonts w:ascii="Book Antiqua" w:hAnsi="Book Antiqua"/>
          <w:sz w:val="40"/>
          <w:szCs w:val="40"/>
        </w:rPr>
        <w:t>s</w:t>
      </w:r>
      <w:r w:rsidRPr="00E05714">
        <w:rPr>
          <w:rFonts w:ascii="Book Antiqua" w:hAnsi="Book Antiqua"/>
          <w:sz w:val="40"/>
          <w:szCs w:val="40"/>
        </w:rPr>
        <w:t xml:space="preserve"> to Reviewer #2</w:t>
      </w:r>
      <w:r w:rsidR="000F7394" w:rsidRPr="00E05714">
        <w:rPr>
          <w:rFonts w:ascii="Book Antiqua" w:hAnsi="Book Antiqua"/>
          <w:sz w:val="40"/>
          <w:szCs w:val="40"/>
        </w:rPr>
        <w:t xml:space="preserve"> comments</w:t>
      </w:r>
    </w:p>
    <w:p w14:paraId="58F86056" w14:textId="77777777" w:rsidR="005150AD" w:rsidRPr="00963EB3" w:rsidRDefault="00000000" w:rsidP="00E05714">
      <w:pPr>
        <w:pStyle w:val="2"/>
        <w:spacing w:before="0" w:afterLines="50" w:after="120" w:line="360" w:lineRule="auto"/>
        <w:rPr>
          <w:rFonts w:ascii="Book Antiqua" w:hAnsi="Book Antiqua"/>
        </w:rPr>
      </w:pPr>
      <w:r w:rsidRPr="00963EB3">
        <w:rPr>
          <w:rFonts w:ascii="Book Antiqua" w:hAnsi="Book Antiqua"/>
        </w:rPr>
        <w:t>R2-1. Discrepancy Between Deffuant Model and Simulation Implementation</w:t>
      </w:r>
    </w:p>
    <w:p w14:paraId="4B94A8FF" w14:textId="77777777" w:rsidR="005150AD" w:rsidRPr="00AB242D" w:rsidRDefault="00000000" w:rsidP="00E05714">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There is a fundamental discrepancy between the mathematical definitions and the simulation implementation. The authors cite the Deffuant et al. (2002) model, which is defined on a continuous opinion space with time-varying uncertainty. However, the BCAT implementation uses integer attitudes (1, 100) and a fixed bounded-confidence parameter. Methodologically, this makes the implementation a version of the HK (Hegselmann-Krause) model. The authors must reconcile the theoretical framing in Section 2 with the actual simulation.</w:t>
      </w:r>
    </w:p>
    <w:p w14:paraId="4F7DFDB2"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21240BBD" w14:textId="790805AF" w:rsidR="005150AD" w:rsidRPr="00451EC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We </w:t>
      </w:r>
      <w:r w:rsidR="002344C9" w:rsidRPr="00080047">
        <w:rPr>
          <w:rFonts w:ascii="Book Antiqua" w:eastAsia="Times New Roman" w:hAnsi="Book Antiqua"/>
          <w:color w:val="0070C0"/>
          <w:sz w:val="24"/>
          <w:szCs w:val="24"/>
        </w:rPr>
        <w:t>offer a two-part response to this</w:t>
      </w:r>
      <w:r w:rsidRPr="00080047">
        <w:rPr>
          <w:rFonts w:ascii="Book Antiqua" w:eastAsia="Times New Roman" w:hAnsi="Book Antiqua"/>
          <w:color w:val="0070C0"/>
          <w:sz w:val="24"/>
          <w:szCs w:val="24"/>
        </w:rPr>
        <w:t xml:space="preserve"> technically precise</w:t>
      </w:r>
      <w:r w:rsidR="00C06900" w:rsidRPr="00080047">
        <w:rPr>
          <w:rFonts w:ascii="Book Antiqua" w:eastAsia="Times New Roman" w:hAnsi="Book Antiqua"/>
          <w:color w:val="0070C0"/>
          <w:sz w:val="24"/>
          <w:szCs w:val="24"/>
        </w:rPr>
        <w:t xml:space="preserve"> and helpful</w:t>
      </w:r>
      <w:r w:rsidRPr="00080047">
        <w:rPr>
          <w:rFonts w:ascii="Book Antiqua" w:eastAsia="Times New Roman" w:hAnsi="Book Antiqua"/>
          <w:color w:val="0070C0"/>
          <w:sz w:val="24"/>
          <w:szCs w:val="24"/>
        </w:rPr>
        <w:t xml:space="preserve"> observation.</w:t>
      </w:r>
    </w:p>
    <w:p w14:paraId="7EE327F9" w14:textId="56DBB063" w:rsidR="005150AD" w:rsidRPr="00451EC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Part 1: The integer attitude scale is a deliberate and mathematically equivalent discretization. </w:t>
      </w:r>
      <w:r w:rsidR="00076416" w:rsidRPr="00080047">
        <w:rPr>
          <w:rFonts w:ascii="Book Antiqua" w:eastAsia="Times New Roman" w:hAnsi="Book Antiqua"/>
          <w:color w:val="0070C0"/>
          <w:sz w:val="24"/>
          <w:szCs w:val="24"/>
        </w:rPr>
        <w:t>Specifically, t</w:t>
      </w:r>
      <w:r w:rsidRPr="00080047">
        <w:rPr>
          <w:rFonts w:ascii="Book Antiqua" w:eastAsia="Times New Roman" w:hAnsi="Book Antiqua"/>
          <w:color w:val="0070C0"/>
          <w:sz w:val="24"/>
          <w:szCs w:val="24"/>
        </w:rPr>
        <w:t xml:space="preserve">he integer scale [1, 100] is a uniform discretization of the continuous interval [0, 1] into 100 equally spaced levels, where each integer unit corresponds to an interval of 0.01. </w:t>
      </w:r>
      <w:r w:rsidR="008465F0" w:rsidRPr="00080047">
        <w:rPr>
          <w:rFonts w:ascii="Book Antiqua" w:eastAsia="Times New Roman" w:hAnsi="Book Antiqua"/>
          <w:color w:val="0070C0"/>
          <w:sz w:val="24"/>
          <w:szCs w:val="24"/>
        </w:rPr>
        <w:t>The bounded confidence parameter bounded-confidence follows the same convention: a value of 40 corresponds to a confidence threshold of ε = 0.40 in the standard literature.</w:t>
      </w:r>
      <w:r w:rsidRPr="00080047">
        <w:rPr>
          <w:rFonts w:ascii="Book Antiqua" w:eastAsia="Times New Roman" w:hAnsi="Book Antiqua"/>
          <w:color w:val="0070C0"/>
          <w:sz w:val="24"/>
          <w:szCs w:val="24"/>
        </w:rPr>
        <w:t xml:space="preserve"> We made this design choice to facilitate sensitivity analysis</w:t>
      </w:r>
      <w:r w:rsidR="005777DC"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and to align the attitude scale with survey-style measurement instruments. We added a note in the Simulation Model Specifications section stating this equivalence.</w:t>
      </w:r>
    </w:p>
    <w:p w14:paraId="6B81853F" w14:textId="40149207" w:rsidR="005150AD" w:rsidRPr="00451EC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Part 2: The opinion update mechanism corresponds to the simple bounded confidence Deffuant model, not the Relative Agreement variant. </w:t>
      </w:r>
      <w:r w:rsidR="00960178" w:rsidRPr="00080047">
        <w:rPr>
          <w:rFonts w:ascii="Book Antiqua" w:eastAsia="Times New Roman" w:hAnsi="Book Antiqua"/>
          <w:color w:val="0070C0"/>
          <w:sz w:val="24"/>
          <w:szCs w:val="24"/>
        </w:rPr>
        <w:t xml:space="preserve">In our original manuscript, </w:t>
      </w:r>
      <w:r w:rsidRPr="00080047">
        <w:rPr>
          <w:rFonts w:ascii="Book Antiqua" w:eastAsia="Times New Roman" w:hAnsi="Book Antiqua"/>
          <w:color w:val="0070C0"/>
          <w:sz w:val="24"/>
          <w:szCs w:val="24"/>
        </w:rPr>
        <w:t>Section 2 introduces the Deffuant et al. (2002) Relative Agreement (RA) model, which features agent-specific, time-varying uncertainty parameters</w:t>
      </w:r>
      <w:r w:rsidR="005752F9"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and computes attitude adjustments as a function of confidence interval overlap (Equations 1 and 2). However, the BCAT opinion update procedure implements the rule att_new = round(C + μ × (B − C)), where μ is the fixed convergence-rate parameter. This rule does not involve any uncertainty parameter, does not compute confidence interval overlap, and does not update any agent-specific confidence bound. It is structurally equivalent to the simple Deffuant bounded confidence model (Deffuant et al., 2000)—</w:t>
      </w:r>
      <w:r w:rsidR="009E0EE3" w:rsidRPr="00080047">
        <w:rPr>
          <w:rFonts w:ascii="Book Antiqua" w:eastAsia="Times New Roman" w:hAnsi="Book Antiqua"/>
          <w:color w:val="0070C0"/>
          <w:sz w:val="24"/>
          <w:szCs w:val="24"/>
        </w:rPr>
        <w:t>that is</w:t>
      </w:r>
      <w:r w:rsidRPr="00080047">
        <w:rPr>
          <w:rFonts w:ascii="Book Antiqua" w:eastAsia="Times New Roman" w:hAnsi="Book Antiqua"/>
          <w:color w:val="0070C0"/>
          <w:sz w:val="24"/>
          <w:szCs w:val="24"/>
        </w:rPr>
        <w:t>, the pairwise random interaction variant in which two agents adjust their opinions by a fixed fraction μ of their difference, provided the difference falls below a global fixed threshold ε.</w:t>
      </w:r>
    </w:p>
    <w:p w14:paraId="62E1C396" w14:textId="0679D1A1" w:rsidR="005150AD" w:rsidRPr="00451EC7" w:rsidRDefault="00960178"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Though we retained the description of the RA model and its equations as context, we added a disambiguation sentence stating that the BCAT model does not implement the full RA update rule. A new paragraph </w:t>
      </w:r>
      <w:r w:rsidR="00A90F7E" w:rsidRPr="00080047">
        <w:rPr>
          <w:rFonts w:ascii="Book Antiqua" w:eastAsia="Times New Roman" w:hAnsi="Book Antiqua"/>
          <w:color w:val="0070C0"/>
          <w:sz w:val="24"/>
          <w:szCs w:val="24"/>
        </w:rPr>
        <w:t>describes</w:t>
      </w:r>
      <w:r w:rsidRPr="00080047">
        <w:rPr>
          <w:rFonts w:ascii="Book Antiqua" w:eastAsia="Times New Roman" w:hAnsi="Book Antiqua"/>
          <w:color w:val="0070C0"/>
          <w:sz w:val="24"/>
          <w:szCs w:val="24"/>
        </w:rPr>
        <w:t xml:space="preserve"> the BCAT opinion update mechanism as a networked, discretized, adoption-status-conditioned extension of the simple Deffuant bounded confidence model (Deffuant et al., 2000). A </w:t>
      </w:r>
      <w:r w:rsidRPr="00080047">
        <w:rPr>
          <w:rFonts w:ascii="Book Antiqua" w:eastAsia="Times New Roman" w:hAnsi="Book Antiqua"/>
          <w:color w:val="0070C0"/>
          <w:sz w:val="24"/>
          <w:szCs w:val="24"/>
        </w:rPr>
        <w:lastRenderedPageBreak/>
        <w:t>new comparative table (Table 1) summarizes the structural relationships among the HKmodel, the Deffuant RA model, and the</w:t>
      </w:r>
      <w:r w:rsidR="00B82F68" w:rsidRPr="00080047">
        <w:rPr>
          <w:rFonts w:ascii="Book Antiqua" w:eastAsia="Times New Roman" w:hAnsi="Book Antiqua"/>
          <w:color w:val="0070C0"/>
          <w:sz w:val="24"/>
          <w:szCs w:val="24"/>
        </w:rPr>
        <w:t xml:space="preserve"> proposed model </w:t>
      </w:r>
      <w:r w:rsidRPr="00080047">
        <w:rPr>
          <w:rFonts w:ascii="Book Antiqua" w:eastAsia="Times New Roman" w:hAnsi="Book Antiqua"/>
          <w:color w:val="0070C0"/>
          <w:sz w:val="24"/>
          <w:szCs w:val="24"/>
        </w:rPr>
        <w:t xml:space="preserve">across eight dimensions. We rewrote the Algorithm 3 description in the Simulation Model Specifications section to specify the fixed-rate convergence rule, </w:t>
      </w:r>
      <w:r w:rsidR="008465F0" w:rsidRPr="00080047">
        <w:rPr>
          <w:rFonts w:ascii="Book Antiqua" w:eastAsia="Times New Roman" w:hAnsi="Book Antiqua"/>
          <w:color w:val="0070C0"/>
          <w:sz w:val="24"/>
          <w:szCs w:val="24"/>
        </w:rPr>
        <w:t>the ε = bounded-confidence/100 equivalence, and the absence of any agent-specific uncertainty parameter.</w:t>
      </w:r>
      <w:r w:rsidRPr="00080047">
        <w:rPr>
          <w:rFonts w:ascii="Book Antiqua" w:eastAsia="Times New Roman" w:hAnsi="Book Antiqua"/>
          <w:color w:val="0070C0"/>
          <w:sz w:val="24"/>
          <w:szCs w:val="24"/>
        </w:rPr>
        <w:t xml:space="preserve"> Table 2 now includes a note on integer-to-continuous mapping. These clarifications affect the theoretical positioning of the model</w:t>
      </w:r>
      <w:r w:rsidR="00E15DA1"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but d</w:t>
      </w:r>
      <w:r w:rsidR="00E15DA1" w:rsidRPr="00080047">
        <w:rPr>
          <w:rFonts w:ascii="Book Antiqua" w:eastAsia="Times New Roman" w:hAnsi="Book Antiqua"/>
          <w:color w:val="0070C0"/>
          <w:sz w:val="24"/>
          <w:szCs w:val="24"/>
        </w:rPr>
        <w:t>id</w:t>
      </w:r>
      <w:r w:rsidRPr="00080047">
        <w:rPr>
          <w:rFonts w:ascii="Book Antiqua" w:eastAsia="Times New Roman" w:hAnsi="Book Antiqua"/>
          <w:color w:val="0070C0"/>
          <w:sz w:val="24"/>
          <w:szCs w:val="24"/>
        </w:rPr>
        <w:t xml:space="preserve"> not require any changes to the simulation itself.</w:t>
      </w:r>
    </w:p>
    <w:p w14:paraId="4116F8CE"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342874E9" w14:textId="1506CDEF" w:rsidR="005150AD" w:rsidRPr="00963EB3" w:rsidRDefault="00000000" w:rsidP="00E05714">
      <w:pPr>
        <w:pStyle w:val="2"/>
        <w:spacing w:before="0" w:afterLines="50" w:after="120" w:line="360" w:lineRule="auto"/>
        <w:rPr>
          <w:rFonts w:ascii="Book Antiqua" w:hAnsi="Book Antiqua"/>
        </w:rPr>
      </w:pPr>
      <w:r w:rsidRPr="00963EB3">
        <w:rPr>
          <w:rFonts w:ascii="Book Antiqua" w:hAnsi="Book Antiqua"/>
        </w:rPr>
        <w:lastRenderedPageBreak/>
        <w:t>R2-2. Update Scheme: Synchronous vs. Asynchronous</w:t>
      </w:r>
    </w:p>
    <w:p w14:paraId="0F19DDC6" w14:textId="77777777" w:rsidR="005150AD" w:rsidRPr="00AB242D" w:rsidRDefault="00000000" w:rsidP="00E05714">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 manuscript leaves the update scheme ambiguous. Algorithm 3 suggests that at each tick, agents interact with one randomly chosen neighbor (asynchronous/sequential update). However, the overall simulation structure does not clarify if the adoption state is updated synchronously. Given that update order qualitatively affects convergence in opinion dynamics (cf. Berenbrink et al., 2024), the authors must explicitly define and justify the choice of synchronous vs. asynchronous updating.</w:t>
      </w:r>
    </w:p>
    <w:p w14:paraId="2F7A7067"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6E5DA136" w14:textId="64246FED" w:rsidR="005150AD" w:rsidRPr="00451EC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BCAT uses a pseudo-concurrent update scheme </w:t>
      </w:r>
      <w:r w:rsidR="008F417F" w:rsidRPr="00080047">
        <w:rPr>
          <w:rFonts w:ascii="Book Antiqua" w:eastAsia="Times New Roman" w:hAnsi="Book Antiqua"/>
          <w:color w:val="0070C0"/>
          <w:sz w:val="24"/>
          <w:szCs w:val="24"/>
        </w:rPr>
        <w:t>based on</w:t>
      </w:r>
      <w:r w:rsidRPr="00080047">
        <w:rPr>
          <w:rFonts w:ascii="Book Antiqua" w:eastAsia="Times New Roman" w:hAnsi="Book Antiqua"/>
          <w:color w:val="0070C0"/>
          <w:sz w:val="24"/>
          <w:szCs w:val="24"/>
        </w:rPr>
        <w:t xml:space="preserve"> the ask-concurrent command in NetLogo 4.0.5. </w:t>
      </w:r>
      <w:r w:rsidR="00B17A8F" w:rsidRPr="00080047">
        <w:rPr>
          <w:rFonts w:ascii="Book Antiqua" w:eastAsia="Times New Roman" w:hAnsi="Book Antiqua"/>
          <w:color w:val="0070C0"/>
          <w:sz w:val="24"/>
          <w:szCs w:val="24"/>
        </w:rPr>
        <w:t>According to</w:t>
      </w:r>
      <w:r w:rsidRPr="00080047">
        <w:rPr>
          <w:rFonts w:ascii="Book Antiqua" w:eastAsia="Times New Roman" w:hAnsi="Book Antiqua"/>
          <w:color w:val="0070C0"/>
          <w:sz w:val="24"/>
          <w:szCs w:val="24"/>
        </w:rPr>
        <w:t xml:space="preserve"> ask-concurrent, all agents are processed in a randomly shuffled order within each tick, and each agent’s state modifications take effect immediately. The Python 3 reimplementation faithfully reproduces this behavior. This scheme lies between strictly synchronous updating (where all agents read old states before any writes occur) and strictly sequential updating with a fixed order (where position in the queue systematically advantages certain agents).</w:t>
      </w:r>
    </w:p>
    <w:p w14:paraId="18FE7BDF" w14:textId="71E1B511" w:rsidR="005150AD" w:rsidRPr="0008004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We chose this scheme because the random reshuffling of execution order at each tick ensures that no agent systematically benefits from its position in the processing sequence. </w:t>
      </w:r>
      <w:r w:rsidR="00D54482" w:rsidRPr="00080047">
        <w:rPr>
          <w:rFonts w:ascii="Book Antiqua" w:eastAsia="Times New Roman" w:hAnsi="Book Antiqua"/>
          <w:color w:val="0070C0"/>
          <w:sz w:val="24"/>
          <w:szCs w:val="24"/>
        </w:rPr>
        <w:t>Simulation</w:t>
      </w:r>
      <w:r w:rsidRPr="00080047">
        <w:rPr>
          <w:rFonts w:ascii="Book Antiqua" w:eastAsia="Times New Roman" w:hAnsi="Book Antiqua"/>
          <w:color w:val="0070C0"/>
          <w:sz w:val="24"/>
          <w:szCs w:val="24"/>
        </w:rPr>
        <w:t xml:space="preserve"> randomness therefore comes from four well-defined stochastic elements: (1) the random selection of a neighbor for each agent per tick, (2) the initial random assignment of attitude and threshold values, (3) the random or clustered placement of pioneer agents, and (4) the random execution order within each tick. Because each source is controlled and reproducible given a fixed random seed, the sensitivity analysis results reported in the Results section reflect model parameter effects rather than systematic scheduling artifacts.</w:t>
      </w:r>
    </w:p>
    <w:p w14:paraId="7AEC4F2C" w14:textId="16566BDA" w:rsidR="00D54482" w:rsidRPr="00451EC7" w:rsidRDefault="00D54482"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In response to this comment we added two new paragraphs to the Simulation Model Specifications section, immediately following the adoption decision-making description. The first explains the pseudo-concurrent update semantics of ask-concurrent (random-order sequential execution with immediate writes) and confirms that the Python 3 reimplementation faithfully reproduces this behavior. The second states the methodological rationale: the random reshuffling of execution order during each tick prevents systematic scheduling bias, and identifies four controlled stochastic elements ensuring that the sensitivity analysis </w:t>
      </w:r>
      <w:r w:rsidR="00BC0BCC" w:rsidRPr="00080047">
        <w:rPr>
          <w:rFonts w:ascii="Book Antiqua" w:eastAsia="Times New Roman" w:hAnsi="Book Antiqua"/>
          <w:color w:val="0070C0"/>
          <w:sz w:val="24"/>
          <w:szCs w:val="24"/>
        </w:rPr>
        <w:t>data</w:t>
      </w:r>
      <w:r w:rsidRPr="00080047">
        <w:rPr>
          <w:rFonts w:ascii="Book Antiqua" w:eastAsia="Times New Roman" w:hAnsi="Book Antiqua"/>
          <w:color w:val="0070C0"/>
          <w:sz w:val="24"/>
          <w:szCs w:val="24"/>
        </w:rPr>
        <w:t xml:space="preserve"> reported in the Results section reflect model parameter effects.</w:t>
      </w:r>
    </w:p>
    <w:p w14:paraId="0ED575E5"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10B2866B" w14:textId="2953CC68" w:rsidR="005150AD" w:rsidRPr="00963EB3" w:rsidRDefault="00000000" w:rsidP="00331A40">
      <w:pPr>
        <w:pStyle w:val="2"/>
        <w:spacing w:before="0" w:afterLines="50" w:after="120" w:line="360" w:lineRule="auto"/>
        <w:rPr>
          <w:rFonts w:ascii="Book Antiqua" w:hAnsi="Book Antiqua"/>
        </w:rPr>
      </w:pPr>
      <w:r w:rsidRPr="00963EB3">
        <w:rPr>
          <w:rFonts w:ascii="Book Antiqua" w:hAnsi="Book Antiqua"/>
        </w:rPr>
        <w:lastRenderedPageBreak/>
        <w:t>R2-3. Adoption Threshold Scaling (0–100 vs. 0–1)</w:t>
      </w:r>
    </w:p>
    <w:p w14:paraId="2BDB6E18" w14:textId="77777777" w:rsidR="005150AD" w:rsidRPr="00AB242D" w:rsidRDefault="00000000" w:rsidP="00331A40">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In Algorithm 3, the adoption threshold is treated as a percentage (0–100). In the standard diffusion literature (e.g., Watts 2004, Valente 1996), the threshold is strictly a fraction in (0–1). While not a fatal error, this non-standard scaling complicates comparisons with existing literature and makes the interpretation of Table 3 potentially misleading.</w:t>
      </w:r>
    </w:p>
    <w:p w14:paraId="0736F7FD"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1C1B638A" w14:textId="207E4136" w:rsidR="005150AD" w:rsidRPr="00451EC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As </w:t>
      </w:r>
      <w:r w:rsidR="00D54482" w:rsidRPr="00080047">
        <w:rPr>
          <w:rFonts w:ascii="Book Antiqua" w:eastAsia="Times New Roman" w:hAnsi="Book Antiqua"/>
          <w:color w:val="0070C0"/>
          <w:sz w:val="24"/>
          <w:szCs w:val="24"/>
        </w:rPr>
        <w:t>stated</w:t>
      </w:r>
      <w:r w:rsidRPr="00080047">
        <w:rPr>
          <w:rFonts w:ascii="Book Antiqua" w:eastAsia="Times New Roman" w:hAnsi="Book Antiqua"/>
          <w:color w:val="0070C0"/>
          <w:sz w:val="24"/>
          <w:szCs w:val="24"/>
        </w:rPr>
        <w:t xml:space="preserve"> in our R2-1</w:t>
      </w:r>
      <w:r w:rsidR="00150F93" w:rsidRPr="00080047">
        <w:rPr>
          <w:rFonts w:ascii="Book Antiqua" w:eastAsia="Times New Roman" w:hAnsi="Book Antiqua"/>
          <w:color w:val="0070C0"/>
          <w:sz w:val="24"/>
          <w:szCs w:val="24"/>
        </w:rPr>
        <w:t xml:space="preserve"> response</w:t>
      </w:r>
      <w:r w:rsidRPr="00080047">
        <w:rPr>
          <w:rFonts w:ascii="Book Antiqua" w:eastAsia="Times New Roman" w:hAnsi="Book Antiqua"/>
          <w:color w:val="0070C0"/>
          <w:sz w:val="24"/>
          <w:szCs w:val="24"/>
        </w:rPr>
        <w:t>, the integer scale [1, 100] used throughout the BCAT model is a uniform 100-level discretization of the continuous interval [0, 1], where each integer unit corresponds to an interval of 0.01. This scaling convention applies uniformly to both attitude values and adoption thresholds. An avg-of-thresholds value of 40, for instance, represents a mean adoption threshold of θ = 0.40 in the fractional notation standard in the diffusion literature (Watts, 200</w:t>
      </w:r>
      <w:r w:rsidR="00635BA4" w:rsidRPr="00080047">
        <w:rPr>
          <w:rFonts w:ascii="Book Antiqua" w:eastAsia="Times New Roman" w:hAnsi="Book Antiqua"/>
          <w:color w:val="0070C0"/>
          <w:sz w:val="24"/>
          <w:szCs w:val="24"/>
        </w:rPr>
        <w:t>4</w:t>
      </w:r>
      <w:r w:rsidRPr="00080047">
        <w:rPr>
          <w:rFonts w:ascii="Book Antiqua" w:eastAsia="Times New Roman" w:hAnsi="Book Antiqua"/>
          <w:color w:val="0070C0"/>
          <w:sz w:val="24"/>
          <w:szCs w:val="24"/>
        </w:rPr>
        <w:t>; Valente, 1996), meaning that an agent adopts only when the proportion of its neighbors who have already adopted meets or exceeds 40%. The adoption decision rule of Algorithm 3 enforces this equivalence by computing the neighbor adoption proportion ([0, 1]) and comparing it against theta/100. The two sides of the inequality therefore operate on identical scales, and the model’s mathematical behavior is exactly equivalent to a formulation using fractional thresholds in [0.01, 1.00].</w:t>
      </w:r>
    </w:p>
    <w:p w14:paraId="1F0DD6B9" w14:textId="521EBB32" w:rsidR="005150AD" w:rsidRPr="00451EC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We acknowledge that the original manuscript did not </w:t>
      </w:r>
      <w:r w:rsidR="00D54482" w:rsidRPr="00080047">
        <w:rPr>
          <w:rFonts w:ascii="Book Antiqua" w:eastAsia="Times New Roman" w:hAnsi="Book Antiqua"/>
          <w:color w:val="0070C0"/>
          <w:sz w:val="24"/>
          <w:szCs w:val="24"/>
        </w:rPr>
        <w:t>explicitly explain</w:t>
      </w:r>
      <w:r w:rsidRPr="00080047">
        <w:rPr>
          <w:rFonts w:ascii="Book Antiqua" w:eastAsia="Times New Roman" w:hAnsi="Book Antiqua"/>
          <w:color w:val="0070C0"/>
          <w:sz w:val="24"/>
          <w:szCs w:val="24"/>
        </w:rPr>
        <w:t xml:space="preserve"> this scaling equivalence</w:t>
      </w:r>
      <w:r w:rsidR="00D54482" w:rsidRPr="00080047">
        <w:rPr>
          <w:rFonts w:ascii="Book Antiqua" w:eastAsia="Times New Roman" w:hAnsi="Book Antiqua"/>
          <w:color w:val="0070C0"/>
          <w:sz w:val="24"/>
          <w:szCs w:val="24"/>
        </w:rPr>
        <w:t>. We therefore</w:t>
      </w:r>
      <w:r w:rsidRPr="00080047">
        <w:rPr>
          <w:rFonts w:ascii="Book Antiqua" w:eastAsia="Times New Roman" w:hAnsi="Book Antiqua"/>
          <w:color w:val="0070C0"/>
          <w:sz w:val="24"/>
          <w:szCs w:val="24"/>
        </w:rPr>
        <w:t xml:space="preserve"> added a clarifying statement in the Table 2 parameter description for avg-of-thresholds and std-of-thresholds, and appended a footnote to Table 3 providing the fractional equivalents for the threshold parameter values used in the sensitivity analysis. </w:t>
      </w:r>
      <w:r w:rsidR="00706BAD" w:rsidRPr="00080047">
        <w:rPr>
          <w:rFonts w:ascii="Book Antiqua" w:eastAsia="Times New Roman" w:hAnsi="Book Antiqua"/>
          <w:color w:val="0070C0"/>
          <w:sz w:val="24"/>
          <w:szCs w:val="24"/>
        </w:rPr>
        <w:t>These</w:t>
      </w:r>
      <w:r w:rsidRPr="00080047">
        <w:rPr>
          <w:rFonts w:ascii="Book Antiqua" w:eastAsia="Times New Roman" w:hAnsi="Book Antiqua"/>
          <w:color w:val="0070C0"/>
          <w:sz w:val="24"/>
          <w:szCs w:val="24"/>
        </w:rPr>
        <w:t xml:space="preserve"> changes</w:t>
      </w:r>
      <w:r w:rsidR="00706BAD" w:rsidRPr="00080047">
        <w:rPr>
          <w:rFonts w:ascii="Book Antiqua" w:eastAsia="Times New Roman" w:hAnsi="Book Antiqua"/>
          <w:color w:val="0070C0"/>
          <w:sz w:val="24"/>
          <w:szCs w:val="24"/>
        </w:rPr>
        <w:t xml:space="preserve"> do not require modifications</w:t>
      </w:r>
      <w:r w:rsidRPr="00080047">
        <w:rPr>
          <w:rFonts w:ascii="Book Antiqua" w:eastAsia="Times New Roman" w:hAnsi="Book Antiqua"/>
          <w:color w:val="0070C0"/>
          <w:sz w:val="24"/>
          <w:szCs w:val="24"/>
        </w:rPr>
        <w:t xml:space="preserve"> to the simulation code or model behavior.</w:t>
      </w:r>
    </w:p>
    <w:p w14:paraId="7E709B6B"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70F342A8" w14:textId="2E1889F1" w:rsidR="005150AD" w:rsidRPr="00963EB3" w:rsidRDefault="00000000" w:rsidP="00331A40">
      <w:pPr>
        <w:pStyle w:val="2"/>
        <w:spacing w:before="0" w:afterLines="50" w:after="120" w:line="360" w:lineRule="auto"/>
        <w:rPr>
          <w:rFonts w:ascii="Book Antiqua" w:hAnsi="Book Antiqua"/>
        </w:rPr>
      </w:pPr>
      <w:r w:rsidRPr="00963EB3">
        <w:rPr>
          <w:rFonts w:ascii="Book Antiqua" w:hAnsi="Book Antiqua"/>
        </w:rPr>
        <w:lastRenderedPageBreak/>
        <w:t>R2-4. Incomplete Statistical Reporting in Table 3</w:t>
      </w:r>
    </w:p>
    <w:p w14:paraId="3F5123DD" w14:textId="77777777" w:rsidR="005150AD" w:rsidRPr="00AB242D" w:rsidRDefault="00000000" w:rsidP="00331A40">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 reporting in Table 3 remains incomplete: (a) The specific feature importance algorithm is never identified. (b) Table 3 provides point estimates only; the authors must include standard errors or confidence intervals. (c) There appears to be a permutation error in the “All” row; values seem misaligned with individual network columns.</w:t>
      </w:r>
    </w:p>
    <w:p w14:paraId="62D44CD8"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26D9A071" w14:textId="258DD7FE" w:rsidR="005150AD" w:rsidRPr="00451EC7" w:rsidRDefault="00595E33"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Regarding algorithm identification, we accept responsibility for this omission. We computed feature importance values using a Random Forest regression ensemble with 100 trees and </w:t>
      </w:r>
      <w:r w:rsidR="00BE487B" w:rsidRPr="00080047">
        <w:rPr>
          <w:rFonts w:ascii="Book Antiqua" w:eastAsia="Times New Roman" w:hAnsi="Book Antiqua"/>
          <w:color w:val="0070C0"/>
          <w:sz w:val="24"/>
          <w:szCs w:val="24"/>
        </w:rPr>
        <w:t xml:space="preserve">a </w:t>
      </w:r>
      <w:r w:rsidRPr="00080047">
        <w:rPr>
          <w:rFonts w:ascii="Book Antiqua" w:eastAsia="Times New Roman" w:hAnsi="Book Antiqua"/>
          <w:color w:val="0070C0"/>
          <w:sz w:val="24"/>
          <w:szCs w:val="24"/>
        </w:rPr>
        <w:t>mean decrease in impurity (Gini importance) criterion, with all other hyperparameters at their default values. We have added this information to the Sensitivity Analysis subsection of our Results section.</w:t>
      </w:r>
    </w:p>
    <w:p w14:paraId="05ECC9A6" w14:textId="1F2AD27A" w:rsidR="005150AD" w:rsidRPr="00451EC7" w:rsidRDefault="00595E33"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Regarding uncertainty reporting, we revised Table 3 to include standard errors for the Random Forest feature importance values, computed as the standard deviation of per-tree importance values across the 100-tree ensemble divided by √100. All SE values are ≤ 0.001 (rounding to 0.00 at two decimal places), reflecting the high stability of importance estimates over large sample sizes (N = 15,876 to 100,548). For the remaining four methods—multivariate regression, partial correlation, standardized regression, and parameter importance (Pearson correlation)—the reported values are deterministic analytical results given the input data, so standard errors are not applicable. </w:t>
      </w:r>
      <w:r w:rsidR="00016EA3" w:rsidRPr="00080047">
        <w:rPr>
          <w:rFonts w:ascii="Book Antiqua" w:eastAsia="Times New Roman" w:hAnsi="Book Antiqua"/>
          <w:color w:val="0070C0"/>
          <w:sz w:val="24"/>
          <w:szCs w:val="24"/>
        </w:rPr>
        <w:t>We have added a</w:t>
      </w:r>
      <w:r w:rsidRPr="00080047">
        <w:rPr>
          <w:rFonts w:ascii="Book Antiqua" w:eastAsia="Times New Roman" w:hAnsi="Book Antiqua"/>
          <w:color w:val="0070C0"/>
          <w:sz w:val="24"/>
          <w:szCs w:val="24"/>
        </w:rPr>
        <w:t xml:space="preserve"> footnote in Table 3 </w:t>
      </w:r>
      <w:r w:rsidR="00016EA3" w:rsidRPr="00080047">
        <w:rPr>
          <w:rFonts w:ascii="Book Antiqua" w:eastAsia="Times New Roman" w:hAnsi="Book Antiqua"/>
          <w:color w:val="0070C0"/>
          <w:sz w:val="24"/>
          <w:szCs w:val="24"/>
        </w:rPr>
        <w:t xml:space="preserve">to </w:t>
      </w:r>
      <w:r w:rsidRPr="00080047">
        <w:rPr>
          <w:rFonts w:ascii="Book Antiqua" w:eastAsia="Times New Roman" w:hAnsi="Book Antiqua"/>
          <w:color w:val="0070C0"/>
          <w:sz w:val="24"/>
          <w:szCs w:val="24"/>
        </w:rPr>
        <w:t>clarif</w:t>
      </w:r>
      <w:r w:rsidR="00016EA3" w:rsidRPr="00080047">
        <w:rPr>
          <w:rFonts w:ascii="Book Antiqua" w:eastAsia="Times New Roman" w:hAnsi="Book Antiqua"/>
          <w:color w:val="0070C0"/>
          <w:sz w:val="24"/>
          <w:szCs w:val="24"/>
        </w:rPr>
        <w:t>y</w:t>
      </w:r>
      <w:r w:rsidRPr="00080047">
        <w:rPr>
          <w:rFonts w:ascii="Book Antiqua" w:eastAsia="Times New Roman" w:hAnsi="Book Antiqua"/>
          <w:color w:val="0070C0"/>
          <w:sz w:val="24"/>
          <w:szCs w:val="24"/>
        </w:rPr>
        <w:t xml:space="preserve"> this distinction.</w:t>
      </w:r>
    </w:p>
    <w:p w14:paraId="6AF35C0A" w14:textId="1ABDE5B6" w:rsidR="005150AD" w:rsidRPr="00451EC7" w:rsidRDefault="00016EA3"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Regarding data alignment verification, we conducted a systematic audit of all values in Table 3</w:t>
      </w:r>
      <w:r w:rsidR="0036741E"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and discovered an error in the Parameter Importance section: values were inadvertently duplicated from the Standardized Regression section with rows and columns transposed. The Parameter Importance rows now report Pearson correlation coefficients between each parameter and adoption outcome variable, computed directly from the sensitivity analysis data. We also verified that the “All” row values across all five analysis methods are consistent with the aggregated dataset (N = 100,548 observations across four network topologies). </w:t>
      </w:r>
      <w:r w:rsidR="00A93C64" w:rsidRPr="00080047">
        <w:rPr>
          <w:rFonts w:ascii="Book Antiqua" w:eastAsia="Times New Roman" w:hAnsi="Book Antiqua"/>
          <w:color w:val="0070C0"/>
          <w:sz w:val="24"/>
          <w:szCs w:val="24"/>
        </w:rPr>
        <w:t>A</w:t>
      </w:r>
      <w:r w:rsidRPr="00080047">
        <w:rPr>
          <w:rFonts w:ascii="Book Antiqua" w:eastAsia="Times New Roman" w:hAnsi="Book Antiqua"/>
          <w:color w:val="0070C0"/>
          <w:sz w:val="24"/>
          <w:szCs w:val="24"/>
        </w:rPr>
        <w:t xml:space="preserve"> footnote </w:t>
      </w:r>
      <w:r w:rsidR="00A93C64" w:rsidRPr="00080047">
        <w:rPr>
          <w:rFonts w:ascii="Book Antiqua" w:eastAsia="Times New Roman" w:hAnsi="Book Antiqua"/>
          <w:color w:val="0070C0"/>
          <w:sz w:val="24"/>
          <w:szCs w:val="24"/>
        </w:rPr>
        <w:t xml:space="preserve">was added </w:t>
      </w:r>
      <w:r w:rsidRPr="00080047">
        <w:rPr>
          <w:rFonts w:ascii="Book Antiqua" w:eastAsia="Times New Roman" w:hAnsi="Book Antiqua"/>
          <w:color w:val="0070C0"/>
          <w:sz w:val="24"/>
          <w:szCs w:val="24"/>
        </w:rPr>
        <w:t xml:space="preserve">to Table 3 </w:t>
      </w:r>
      <w:r w:rsidR="00A93C64" w:rsidRPr="00080047">
        <w:rPr>
          <w:rFonts w:ascii="Book Antiqua" w:eastAsia="Times New Roman" w:hAnsi="Book Antiqua"/>
          <w:color w:val="0070C0"/>
          <w:sz w:val="24"/>
          <w:szCs w:val="24"/>
        </w:rPr>
        <w:t xml:space="preserve">to </w:t>
      </w:r>
      <w:r w:rsidRPr="00080047">
        <w:rPr>
          <w:rFonts w:ascii="Book Antiqua" w:eastAsia="Times New Roman" w:hAnsi="Book Antiqua"/>
          <w:color w:val="0070C0"/>
          <w:sz w:val="24"/>
          <w:szCs w:val="24"/>
        </w:rPr>
        <w:t>explain why the corrected Parameter Importance values closely approximate the Standardized Regression coefficients</w:t>
      </w:r>
      <w:r w:rsidR="00A93C64" w:rsidRPr="00080047">
        <w:rPr>
          <w:rFonts w:ascii="Book Antiqua" w:eastAsia="Times New Roman" w:hAnsi="Book Antiqua"/>
          <w:color w:val="0070C0"/>
          <w:sz w:val="24"/>
          <w:szCs w:val="24"/>
        </w:rPr>
        <w:t xml:space="preserve">—since </w:t>
      </w:r>
      <w:r w:rsidRPr="00080047">
        <w:rPr>
          <w:rFonts w:ascii="Book Antiqua" w:eastAsia="Times New Roman" w:hAnsi="Book Antiqua"/>
          <w:color w:val="0070C0"/>
          <w:sz w:val="24"/>
          <w:szCs w:val="24"/>
        </w:rPr>
        <w:t>the five input parameters var</w:t>
      </w:r>
      <w:r w:rsidR="00A93C64" w:rsidRPr="00080047">
        <w:rPr>
          <w:rFonts w:ascii="Book Antiqua" w:eastAsia="Times New Roman" w:hAnsi="Book Antiqua"/>
          <w:color w:val="0070C0"/>
          <w:sz w:val="24"/>
          <w:szCs w:val="24"/>
        </w:rPr>
        <w:t>y</w:t>
      </w:r>
      <w:r w:rsidRPr="00080047">
        <w:rPr>
          <w:rFonts w:ascii="Book Antiqua" w:eastAsia="Times New Roman" w:hAnsi="Book Antiqua"/>
          <w:color w:val="0070C0"/>
          <w:sz w:val="24"/>
          <w:szCs w:val="24"/>
        </w:rPr>
        <w:t xml:space="preserve"> independently in sensitivity analysis design, the predictors are approximately orthogonal</w:t>
      </w:r>
      <w:r w:rsidR="0088197E"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and the two measures mathematically equivalent under this condition.</w:t>
      </w:r>
    </w:p>
    <w:p w14:paraId="51044BA6"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151EE3F8" w14:textId="410752E7" w:rsidR="005150AD" w:rsidRPr="00963EB3" w:rsidRDefault="00000000" w:rsidP="003F147C">
      <w:pPr>
        <w:pStyle w:val="2"/>
        <w:spacing w:before="0" w:afterLines="50" w:after="120" w:line="360" w:lineRule="auto"/>
        <w:rPr>
          <w:rFonts w:ascii="Book Antiqua" w:hAnsi="Book Antiqua"/>
        </w:rPr>
      </w:pPr>
      <w:r w:rsidRPr="00963EB3">
        <w:rPr>
          <w:rFonts w:ascii="Book Antiqua" w:hAnsi="Book Antiqua"/>
        </w:rPr>
        <w:lastRenderedPageBreak/>
        <w:t>R2-5. Finite-Size Scaling Analysis</w:t>
      </w:r>
    </w:p>
    <w:p w14:paraId="5D1C7024" w14:textId="77777777" w:rsidR="005150AD" w:rsidRPr="00AB242D" w:rsidRDefault="00000000" w:rsidP="003F147C">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 model runs with a fixed size of N=400 agents, which is a very small sample, especially in the analysis of cascades and phase transitions. To ensure that the observed “Best Game No One Played” phenomenon is a robust collective behavior and not a stochastic artifact of a small system, the authors should provide a finite-size scaling analysis (e.g., testing N=1000, 5000).</w:t>
      </w:r>
    </w:p>
    <w:p w14:paraId="0594F38F"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2707071F" w14:textId="12913F6F" w:rsidR="005150AD" w:rsidRPr="00451EC7" w:rsidRDefault="00A93C64"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To establish robustness we conducted finite-size scaling experiments at N=400 (20×20), N=900 (30×30), N=1,600 (40×40), and N=2,500 (50×50), using identical parameter configurations (avg-of-attitudes=50, std-of-attitudes=15, bounded-confidence=50, avg-of-thresholds from 10 to 70). Our results confirm that the “best game no one played” phenomenon—high FRI coexisting with near-zero GSI—persisted at all system sizes, and that the observed adoption failure is a robust collective behavior rather than a stochastic artifact of the N=400 baseline. The sharp phase transition at avg-of-thresholds between 30 and 40, and the dominance of avg-of-thresholds as the primary determinant of adoption outcomes, held across all system sizes. We added a note at the end of the sensitivity analysis subsection in our revised Results section. </w:t>
      </w:r>
      <w:r w:rsidR="00635BA4" w:rsidRPr="00080047">
        <w:rPr>
          <w:rFonts w:ascii="Book Antiqua" w:eastAsia="Times New Roman" w:hAnsi="Book Antiqua"/>
          <w:color w:val="0070C0"/>
          <w:sz w:val="24"/>
          <w:szCs w:val="24"/>
        </w:rPr>
        <w:t>All experimental data are available in the public repository (DOI: 10.5281/zenodo.19216365).</w:t>
      </w:r>
    </w:p>
    <w:p w14:paraId="4CC501C3"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7DFC2357" w14:textId="2CD6F014" w:rsidR="005150AD" w:rsidRPr="00963EB3" w:rsidRDefault="00000000" w:rsidP="003F147C">
      <w:pPr>
        <w:pStyle w:val="2"/>
        <w:spacing w:before="0" w:afterLines="50" w:after="120" w:line="360" w:lineRule="auto"/>
        <w:rPr>
          <w:rFonts w:ascii="Book Antiqua" w:hAnsi="Book Antiqua"/>
        </w:rPr>
      </w:pPr>
      <w:r w:rsidRPr="00963EB3">
        <w:rPr>
          <w:rFonts w:ascii="Book Antiqua" w:hAnsi="Book Antiqua"/>
        </w:rPr>
        <w:lastRenderedPageBreak/>
        <w:t>R2-6. Operational Definition of Critical Mass</w:t>
      </w:r>
    </w:p>
    <w:p w14:paraId="4CE4BF29" w14:textId="77777777" w:rsidR="005150AD" w:rsidRPr="00AB242D" w:rsidRDefault="00000000" w:rsidP="003F147C">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 authors frequently invoke “Critical Mass” (e.g., citing a value of 48 agents in Fig 6a) but fail to provide an operational definition within the model’s formal structure. It is unclear if these values are analytically derived or post hoc observations. The authors should define how “Critical Mass” is computed within the BCAT framework and whether it represents a first or second order phase transition in the adoption density.</w:t>
      </w:r>
    </w:p>
    <w:p w14:paraId="3E505671"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7E8659CA" w14:textId="5D3C25BC" w:rsidR="005150AD" w:rsidRPr="00451EC7" w:rsidRDefault="00136255"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In this revised manuscript, “critical mass” is used descriptively</w:t>
      </w:r>
      <w:r w:rsidR="004E7DDC" w:rsidRPr="00080047">
        <w:rPr>
          <w:rFonts w:ascii="Book Antiqua" w:eastAsia="Times New Roman" w:hAnsi="Book Antiqua"/>
          <w:color w:val="0070C0"/>
          <w:sz w:val="24"/>
          <w:szCs w:val="24"/>
        </w:rPr>
        <w:t>,</w:t>
      </w:r>
      <w:r w:rsidR="00980C5C" w:rsidRPr="00080047">
        <w:rPr>
          <w:rFonts w:ascii="Book Antiqua" w:eastAsia="Times New Roman" w:hAnsi="Book Antiqua"/>
          <w:color w:val="0070C0"/>
          <w:sz w:val="24"/>
          <w:szCs w:val="24"/>
        </w:rPr>
        <w:t xml:space="preserve"> based on</w:t>
      </w:r>
      <w:r w:rsidRPr="00080047">
        <w:rPr>
          <w:rFonts w:ascii="Book Antiqua" w:eastAsia="Times New Roman" w:hAnsi="Book Antiqua"/>
          <w:color w:val="0070C0"/>
          <w:sz w:val="24"/>
          <w:szCs w:val="24"/>
        </w:rPr>
        <w:t xml:space="preserve"> Oliver et al. </w:t>
      </w:r>
      <w:r w:rsidR="004E7DDC"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1985)</w:t>
      </w:r>
      <w:r w:rsidR="004E7DDC"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to refer to the minimum number of early adopters </w:t>
      </w:r>
      <w:r w:rsidR="00980C5C" w:rsidRPr="00080047">
        <w:rPr>
          <w:rFonts w:ascii="Book Antiqua" w:eastAsia="Times New Roman" w:hAnsi="Book Antiqua"/>
          <w:color w:val="0070C0"/>
          <w:sz w:val="24"/>
          <w:szCs w:val="24"/>
        </w:rPr>
        <w:t>required</w:t>
      </w:r>
      <w:r w:rsidRPr="00080047">
        <w:rPr>
          <w:rFonts w:ascii="Book Antiqua" w:eastAsia="Times New Roman" w:hAnsi="Book Antiqua"/>
          <w:color w:val="0070C0"/>
          <w:sz w:val="24"/>
          <w:szCs w:val="24"/>
        </w:rPr>
        <w:t xml:space="preserve"> to initiate a self-sustaining adoption cascade. </w:t>
      </w:r>
      <w:r w:rsidR="00C66D0E" w:rsidRPr="00080047">
        <w:rPr>
          <w:rFonts w:ascii="Book Antiqua" w:eastAsia="Times New Roman" w:hAnsi="Book Antiqua"/>
          <w:color w:val="0070C0"/>
          <w:sz w:val="24"/>
          <w:szCs w:val="24"/>
        </w:rPr>
        <w:t>The numerical values cited in Figs. 4 and 6a—17 and 46 adopting agents, respectively—are informal observations from individual simulation runs, and are not recorded by the simulation as measured quantities.</w:t>
      </w:r>
      <w:r w:rsidRPr="00080047">
        <w:rPr>
          <w:rFonts w:ascii="Book Antiqua" w:eastAsia="Times New Roman" w:hAnsi="Book Antiqua"/>
          <w:color w:val="0070C0"/>
          <w:sz w:val="24"/>
          <w:szCs w:val="24"/>
        </w:rPr>
        <w:t xml:space="preserve"> They serve as illustrative descriptions of the cascade dynamics observed in those runs.</w:t>
      </w:r>
    </w:p>
    <w:p w14:paraId="032F88AE" w14:textId="249099DE" w:rsidR="005150AD" w:rsidRPr="00451EC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w:t>
      </w:r>
      <w:r w:rsidR="00980C5C" w:rsidRPr="00080047">
        <w:rPr>
          <w:rFonts w:ascii="Book Antiqua" w:eastAsia="Times New Roman" w:hAnsi="Book Antiqua"/>
          <w:color w:val="0070C0"/>
          <w:sz w:val="24"/>
          <w:szCs w:val="24"/>
        </w:rPr>
        <w:t>C</w:t>
      </w:r>
      <w:r w:rsidRPr="00080047">
        <w:rPr>
          <w:rFonts w:ascii="Book Antiqua" w:eastAsia="Times New Roman" w:hAnsi="Book Antiqua"/>
          <w:color w:val="0070C0"/>
          <w:sz w:val="24"/>
          <w:szCs w:val="24"/>
        </w:rPr>
        <w:t>ritical point”</w:t>
      </w:r>
      <w:r w:rsidR="00980C5C" w:rsidRPr="00080047">
        <w:rPr>
          <w:rFonts w:ascii="Book Antiqua" w:eastAsia="Times New Roman" w:hAnsi="Book Antiqua"/>
          <w:color w:val="0070C0"/>
          <w:sz w:val="24"/>
          <w:szCs w:val="24"/>
        </w:rPr>
        <w:t xml:space="preserve"> (t*), which is directly recorded during simulations,</w:t>
      </w:r>
      <w:r w:rsidRPr="00080047">
        <w:rPr>
          <w:rFonts w:ascii="Book Antiqua" w:eastAsia="Times New Roman" w:hAnsi="Book Antiqua"/>
          <w:color w:val="0070C0"/>
          <w:sz w:val="24"/>
          <w:szCs w:val="24"/>
        </w:rPr>
        <w:t xml:space="preserve"> has a precise operational definition within the BCAT framework</w:t>
      </w:r>
      <w:r w:rsidR="00980C5C"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the first time step at which GSI exceeds 0.5—that is, the first t at which adopters form a strict majority. </w:t>
      </w:r>
      <w:r w:rsidR="00980C5C" w:rsidRPr="00080047">
        <w:rPr>
          <w:rFonts w:ascii="Book Antiqua" w:eastAsia="Times New Roman" w:hAnsi="Book Antiqua"/>
          <w:color w:val="0070C0"/>
          <w:sz w:val="24"/>
          <w:szCs w:val="24"/>
        </w:rPr>
        <w:t>S</w:t>
      </w:r>
      <w:r w:rsidRPr="00080047">
        <w:rPr>
          <w:rFonts w:ascii="Book Antiqua" w:eastAsia="Times New Roman" w:hAnsi="Book Antiqua"/>
          <w:color w:val="0070C0"/>
          <w:sz w:val="24"/>
          <w:szCs w:val="24"/>
        </w:rPr>
        <w:t>imulation</w:t>
      </w:r>
      <w:r w:rsidR="00980C5C" w:rsidRPr="00080047">
        <w:rPr>
          <w:rFonts w:ascii="Book Antiqua" w:eastAsia="Times New Roman" w:hAnsi="Book Antiqua"/>
          <w:color w:val="0070C0"/>
          <w:sz w:val="24"/>
          <w:szCs w:val="24"/>
        </w:rPr>
        <w:t>s</w:t>
      </w:r>
      <w:r w:rsidRPr="00080047">
        <w:rPr>
          <w:rFonts w:ascii="Book Antiqua" w:eastAsia="Times New Roman" w:hAnsi="Book Antiqua"/>
          <w:color w:val="0070C0"/>
          <w:sz w:val="24"/>
          <w:szCs w:val="24"/>
        </w:rPr>
        <w:t xml:space="preserve"> compute and display this value in real time</w:t>
      </w:r>
      <w:r w:rsidR="004C3BEF"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and record it in</w:t>
      </w:r>
      <w:r w:rsidR="00980C5C" w:rsidRPr="00080047">
        <w:rPr>
          <w:rFonts w:ascii="Book Antiqua" w:eastAsia="Times New Roman" w:hAnsi="Book Antiqua"/>
          <w:color w:val="0070C0"/>
          <w:sz w:val="24"/>
          <w:szCs w:val="24"/>
        </w:rPr>
        <w:t xml:space="preserve"> each run’s</w:t>
      </w:r>
      <w:r w:rsidRPr="00080047">
        <w:rPr>
          <w:rFonts w:ascii="Book Antiqua" w:eastAsia="Times New Roman" w:hAnsi="Book Antiqua"/>
          <w:color w:val="0070C0"/>
          <w:sz w:val="24"/>
          <w:szCs w:val="24"/>
        </w:rPr>
        <w:t xml:space="preserve"> output. When t* is </w:t>
      </w:r>
      <w:r w:rsidR="00980C5C" w:rsidRPr="00080047">
        <w:rPr>
          <w:rFonts w:ascii="Book Antiqua" w:eastAsia="Times New Roman" w:hAnsi="Book Antiqua"/>
          <w:color w:val="0070C0"/>
          <w:sz w:val="24"/>
          <w:szCs w:val="24"/>
        </w:rPr>
        <w:t xml:space="preserve">not </w:t>
      </w:r>
      <w:r w:rsidRPr="00080047">
        <w:rPr>
          <w:rFonts w:ascii="Book Antiqua" w:eastAsia="Times New Roman" w:hAnsi="Book Antiqua"/>
          <w:color w:val="0070C0"/>
          <w:sz w:val="24"/>
          <w:szCs w:val="24"/>
        </w:rPr>
        <w:t>ach</w:t>
      </w:r>
      <w:r w:rsidR="00980C5C" w:rsidRPr="00080047">
        <w:rPr>
          <w:rFonts w:ascii="Book Antiqua" w:eastAsia="Times New Roman" w:hAnsi="Book Antiqua"/>
          <w:color w:val="0070C0"/>
          <w:sz w:val="24"/>
          <w:szCs w:val="24"/>
        </w:rPr>
        <w:t>iev</w:t>
      </w:r>
      <w:r w:rsidRPr="00080047">
        <w:rPr>
          <w:rFonts w:ascii="Book Antiqua" w:eastAsia="Times New Roman" w:hAnsi="Book Antiqua"/>
          <w:color w:val="0070C0"/>
          <w:sz w:val="24"/>
          <w:szCs w:val="24"/>
        </w:rPr>
        <w:t xml:space="preserve">ed it is recorded as zero, indicating that the adoption process failed to </w:t>
      </w:r>
      <w:r w:rsidR="00980C5C" w:rsidRPr="00080047">
        <w:rPr>
          <w:rFonts w:ascii="Book Antiqua" w:eastAsia="Times New Roman" w:hAnsi="Book Antiqua"/>
          <w:color w:val="0070C0"/>
          <w:sz w:val="24"/>
          <w:szCs w:val="24"/>
        </w:rPr>
        <w:t>reach</w:t>
      </w:r>
      <w:r w:rsidRPr="00080047">
        <w:rPr>
          <w:rFonts w:ascii="Book Antiqua" w:eastAsia="Times New Roman" w:hAnsi="Book Antiqua"/>
          <w:color w:val="0070C0"/>
          <w:sz w:val="24"/>
          <w:szCs w:val="24"/>
        </w:rPr>
        <w:t xml:space="preserve"> majority diffusion</w:t>
      </w:r>
      <w:r w:rsidR="00980C5C" w:rsidRPr="00080047">
        <w:rPr>
          <w:rFonts w:ascii="Book Antiqua" w:eastAsia="Times New Roman" w:hAnsi="Book Antiqua"/>
          <w:color w:val="0070C0"/>
          <w:sz w:val="24"/>
          <w:szCs w:val="24"/>
        </w:rPr>
        <w:t>—a “best game no one played” outcome</w:t>
      </w:r>
      <w:r w:rsidRPr="00080047">
        <w:rPr>
          <w:rFonts w:ascii="Book Antiqua" w:eastAsia="Times New Roman" w:hAnsi="Book Antiqua"/>
          <w:color w:val="0070C0"/>
          <w:sz w:val="24"/>
          <w:szCs w:val="24"/>
        </w:rPr>
        <w:t xml:space="preserve">. We added </w:t>
      </w:r>
      <w:r w:rsidR="00980C5C" w:rsidRPr="00080047">
        <w:rPr>
          <w:rFonts w:ascii="Book Antiqua" w:eastAsia="Times New Roman" w:hAnsi="Book Antiqua"/>
          <w:color w:val="0070C0"/>
          <w:sz w:val="24"/>
          <w:szCs w:val="24"/>
        </w:rPr>
        <w:t>this</w:t>
      </w:r>
      <w:r w:rsidRPr="00080047">
        <w:rPr>
          <w:rFonts w:ascii="Book Antiqua" w:eastAsia="Times New Roman" w:hAnsi="Book Antiqua"/>
          <w:color w:val="0070C0"/>
          <w:sz w:val="24"/>
          <w:szCs w:val="24"/>
        </w:rPr>
        <w:t xml:space="preserve"> explicit definition to</w:t>
      </w:r>
      <w:r w:rsidR="00980C5C" w:rsidRPr="00080047">
        <w:rPr>
          <w:rFonts w:ascii="Book Antiqua" w:eastAsia="Times New Roman" w:hAnsi="Book Antiqua"/>
          <w:color w:val="0070C0"/>
          <w:sz w:val="24"/>
          <w:szCs w:val="24"/>
        </w:rPr>
        <w:t xml:space="preserve"> our revised</w:t>
      </w:r>
      <w:r w:rsidRPr="00080047">
        <w:rPr>
          <w:rFonts w:ascii="Book Antiqua" w:eastAsia="Times New Roman" w:hAnsi="Book Antiqua"/>
          <w:color w:val="0070C0"/>
          <w:sz w:val="24"/>
          <w:szCs w:val="24"/>
        </w:rPr>
        <w:t xml:space="preserve"> Results section.</w:t>
      </w:r>
    </w:p>
    <w:p w14:paraId="519B3D12" w14:textId="64CA3B5A" w:rsidR="005150AD" w:rsidRPr="00451EC7" w:rsidRDefault="00980C5C"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The above-described mechanism decomposition experiments (</w:t>
      </w:r>
      <w:r w:rsidR="00F6447A" w:rsidRPr="00080047">
        <w:rPr>
          <w:rFonts w:ascii="Book Antiqua" w:eastAsia="Times New Roman" w:hAnsi="Book Antiqua"/>
          <w:color w:val="0070C0"/>
          <w:sz w:val="24"/>
          <w:szCs w:val="24"/>
        </w:rPr>
        <w:t xml:space="preserve">see </w:t>
      </w:r>
      <w:r w:rsidRPr="00080047">
        <w:rPr>
          <w:rFonts w:ascii="Book Antiqua" w:eastAsia="Times New Roman" w:hAnsi="Book Antiqua"/>
          <w:color w:val="0070C0"/>
          <w:sz w:val="24"/>
          <w:szCs w:val="24"/>
        </w:rPr>
        <w:t>response to R1-2) document a sharp transition in GSI between avg-of-thresholds = 30 and 40, and the finite-size scaling experiments (</w:t>
      </w:r>
      <w:r w:rsidR="00F6447A" w:rsidRPr="00080047">
        <w:rPr>
          <w:rFonts w:ascii="Book Antiqua" w:eastAsia="Times New Roman" w:hAnsi="Book Antiqua"/>
          <w:color w:val="0070C0"/>
          <w:sz w:val="24"/>
          <w:szCs w:val="24"/>
        </w:rPr>
        <w:t xml:space="preserve">see response to </w:t>
      </w:r>
      <w:r w:rsidRPr="00080047">
        <w:rPr>
          <w:rFonts w:ascii="Book Antiqua" w:eastAsia="Times New Roman" w:hAnsi="Book Antiqua"/>
          <w:color w:val="0070C0"/>
          <w:sz w:val="24"/>
          <w:szCs w:val="24"/>
        </w:rPr>
        <w:t>R2-5) confirm that this transition persists across system sizes N = 400 through N = 2,500.</w:t>
      </w:r>
    </w:p>
    <w:p w14:paraId="2F7218CA"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14E0BFBE" w14:textId="3CE16F28" w:rsidR="005150AD" w:rsidRPr="00963EB3" w:rsidRDefault="00000000" w:rsidP="003F147C">
      <w:pPr>
        <w:pStyle w:val="2"/>
        <w:spacing w:before="0" w:afterLines="50" w:after="120" w:line="360" w:lineRule="auto"/>
        <w:rPr>
          <w:rFonts w:ascii="Book Antiqua" w:hAnsi="Book Antiqua"/>
        </w:rPr>
      </w:pPr>
      <w:r w:rsidRPr="00963EB3">
        <w:rPr>
          <w:rFonts w:ascii="Book Antiqua" w:hAnsi="Book Antiqua"/>
        </w:rPr>
        <w:lastRenderedPageBreak/>
        <w:t>R2-7. Real-World Cases and Comparison with Alternative Coupled Models</w:t>
      </w:r>
    </w:p>
    <w:p w14:paraId="0D28AA1A" w14:textId="77777777" w:rsidR="005150AD" w:rsidRPr="00AB242D" w:rsidRDefault="00000000" w:rsidP="003F147C">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 real-world cases (Palm, Taiwanese cinema) are used only as anecdotal motivation. The authors should explicitly discuss the limitations of mapping the 1–100 attitude scale to real-world consumer data. Furthermore, they should briefly compare BCAT’s quantitative behavior with existing coupled models (e.g., voter models with inertia or modified SIS/SIR frameworks).</w:t>
      </w:r>
    </w:p>
    <w:p w14:paraId="2B110E4F"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79E94EE6" w14:textId="5534CDD3" w:rsidR="00B8166A" w:rsidRPr="00080047" w:rsidRDefault="00B84055"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For the first part of this comment</w:t>
      </w:r>
      <w:r w:rsidR="00B8166A"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please see our response to the third comment of reviewer #1</w:t>
      </w:r>
      <w:r w:rsidR="00A45C63"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and the three case-specific paragraphs we added to the Discussion section </w:t>
      </w:r>
      <w:r w:rsidR="001F7629" w:rsidRPr="00080047">
        <w:rPr>
          <w:rFonts w:ascii="Book Antiqua" w:eastAsia="Times New Roman" w:hAnsi="Book Antiqua"/>
          <w:color w:val="0070C0"/>
          <w:sz w:val="24"/>
          <w:szCs w:val="24"/>
        </w:rPr>
        <w:t>c</w:t>
      </w:r>
      <w:r w:rsidRPr="00080047">
        <w:rPr>
          <w:rFonts w:ascii="Book Antiqua" w:eastAsia="Times New Roman" w:hAnsi="Book Antiqua"/>
          <w:color w:val="0070C0"/>
          <w:sz w:val="24"/>
          <w:szCs w:val="24"/>
        </w:rPr>
        <w:t>on</w:t>
      </w:r>
      <w:r w:rsidR="001F7629" w:rsidRPr="00080047">
        <w:rPr>
          <w:rFonts w:ascii="Book Antiqua" w:eastAsia="Times New Roman" w:hAnsi="Book Antiqua"/>
          <w:color w:val="0070C0"/>
          <w:sz w:val="24"/>
          <w:szCs w:val="24"/>
        </w:rPr>
        <w:t>cerning</w:t>
      </w:r>
      <w:r w:rsidRPr="00080047">
        <w:rPr>
          <w:rFonts w:ascii="Book Antiqua" w:eastAsia="Times New Roman" w:hAnsi="Book Antiqua"/>
          <w:color w:val="0070C0"/>
          <w:sz w:val="24"/>
          <w:szCs w:val="24"/>
        </w:rPr>
        <w:t xml:space="preserve"> motivating cases with qualitative parameter mappings. </w:t>
      </w:r>
    </w:p>
    <w:p w14:paraId="2C780406" w14:textId="77777777" w:rsidR="00B8166A" w:rsidRPr="00080047" w:rsidRDefault="00B84055"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Regarding the discretization equivalence of the 1–100 attitude scale, please see our responses to comments 1 and 3 to reviewer #2 above. </w:t>
      </w:r>
    </w:p>
    <w:p w14:paraId="4E53A5D8" w14:textId="5534AD23" w:rsidR="00AB242D" w:rsidRDefault="00000000" w:rsidP="00AB242D">
      <w:pPr>
        <w:spacing w:afterLines="50" w:after="120" w:line="360" w:lineRule="auto"/>
        <w:rPr>
          <w:rFonts w:ascii="Book Antiqua" w:eastAsia="Times New Roman" w:hAnsi="Book Antiqua"/>
          <w:b/>
          <w:bCs/>
          <w:sz w:val="24"/>
          <w:szCs w:val="24"/>
        </w:rPr>
      </w:pPr>
      <w:r w:rsidRPr="00080047">
        <w:rPr>
          <w:rFonts w:ascii="Book Antiqua" w:eastAsia="Times New Roman" w:hAnsi="Book Antiqua"/>
          <w:color w:val="0070C0"/>
          <w:sz w:val="24"/>
          <w:szCs w:val="24"/>
        </w:rPr>
        <w:t xml:space="preserve">Regarding the comparison with alternative coupled models, we added a paragraph </w:t>
      </w:r>
      <w:r w:rsidR="00B84055" w:rsidRPr="00080047">
        <w:rPr>
          <w:rFonts w:ascii="Book Antiqua" w:eastAsia="Times New Roman" w:hAnsi="Book Antiqua"/>
          <w:color w:val="0070C0"/>
          <w:sz w:val="24"/>
          <w:szCs w:val="24"/>
        </w:rPr>
        <w:t>to our</w:t>
      </w:r>
      <w:r w:rsidRPr="00080047">
        <w:rPr>
          <w:rFonts w:ascii="Book Antiqua" w:eastAsia="Times New Roman" w:hAnsi="Book Antiqua"/>
          <w:color w:val="0070C0"/>
          <w:sz w:val="24"/>
          <w:szCs w:val="24"/>
        </w:rPr>
        <w:t xml:space="preserve"> Discussion section (following the alternative theories comparison </w:t>
      </w:r>
      <w:r w:rsidR="00182944" w:rsidRPr="00080047">
        <w:rPr>
          <w:rFonts w:ascii="Book Antiqua" w:eastAsia="Times New Roman" w:hAnsi="Book Antiqua"/>
          <w:color w:val="0070C0"/>
          <w:sz w:val="24"/>
          <w:szCs w:val="24"/>
        </w:rPr>
        <w:t xml:space="preserve">in </w:t>
      </w:r>
      <w:r w:rsidRPr="00080047">
        <w:rPr>
          <w:rFonts w:ascii="Book Antiqua" w:eastAsia="Times New Roman" w:hAnsi="Book Antiqua"/>
          <w:color w:val="0070C0"/>
          <w:sz w:val="24"/>
          <w:szCs w:val="24"/>
        </w:rPr>
        <w:t>respon</w:t>
      </w:r>
      <w:r w:rsidR="00182944" w:rsidRPr="00080047">
        <w:rPr>
          <w:rFonts w:ascii="Book Antiqua" w:eastAsia="Times New Roman" w:hAnsi="Book Antiqua"/>
          <w:color w:val="0070C0"/>
          <w:sz w:val="24"/>
          <w:szCs w:val="24"/>
        </w:rPr>
        <w:t>se</w:t>
      </w:r>
      <w:r w:rsidRPr="00080047">
        <w:rPr>
          <w:rFonts w:ascii="Book Antiqua" w:eastAsia="Times New Roman" w:hAnsi="Book Antiqua"/>
          <w:color w:val="0070C0"/>
          <w:sz w:val="24"/>
          <w:szCs w:val="24"/>
        </w:rPr>
        <w:t xml:space="preserve"> to R1-4) that contrasts BCAT with voter models with inertia and SIS/SIR epidemic frameworks</w:t>
      </w:r>
      <w:r w:rsidR="00B84055" w:rsidRPr="00080047">
        <w:rPr>
          <w:rFonts w:ascii="Book Antiqua" w:eastAsia="Times New Roman" w:hAnsi="Book Antiqua"/>
          <w:color w:val="0070C0"/>
          <w:sz w:val="24"/>
          <w:szCs w:val="24"/>
        </w:rPr>
        <w:t xml:space="preserve">. We note that voter models with inertia (Stark et al., 2008) generate metastable heterogeneous states but operate on binary opinion spaces, thus precluding the continuous attitude variation that allows BCAT to capture nuanced scenarios in which agents hold positive but insufficiently strong attitudes. SIS/SIR epidemic frameworks treat adoption as a probabilistic contagion process without an independent attitude layer; any contact with an adopter may trigger adoption regardless of private sentiment. </w:t>
      </w:r>
      <w:r w:rsidR="00182944" w:rsidRPr="00080047">
        <w:rPr>
          <w:rFonts w:ascii="Book Antiqua" w:eastAsia="Times New Roman" w:hAnsi="Book Antiqua"/>
          <w:color w:val="0070C0"/>
          <w:sz w:val="24"/>
          <w:szCs w:val="24"/>
        </w:rPr>
        <w:t>In</w:t>
      </w:r>
      <w:r w:rsidR="00B84055" w:rsidRPr="00080047">
        <w:rPr>
          <w:rFonts w:ascii="Book Antiqua" w:eastAsia="Times New Roman" w:hAnsi="Book Antiqua"/>
          <w:color w:val="0070C0"/>
          <w:sz w:val="24"/>
          <w:szCs w:val="24"/>
        </w:rPr>
        <w:t xml:space="preserve"> contrast, BCAT’s two-layer architecture—requiring both positive attitude and sufficient neighbor adoption—enables the emergence of the opinion–adoption gap, a phenomenon structurally absent from single-layer contagion models</w:t>
      </w:r>
      <w:r w:rsidR="00F211CC" w:rsidRPr="00080047">
        <w:rPr>
          <w:rFonts w:ascii="Book Antiqua" w:eastAsia="Times New Roman" w:hAnsi="Book Antiqua"/>
          <w:color w:val="0070C0"/>
          <w:sz w:val="24"/>
          <w:szCs w:val="24"/>
        </w:rPr>
        <w:t>.</w:t>
      </w:r>
    </w:p>
    <w:p w14:paraId="49493E9B" w14:textId="7AC763FC" w:rsidR="005150AD" w:rsidRPr="00963EB3" w:rsidRDefault="00000000" w:rsidP="003F147C">
      <w:pPr>
        <w:pStyle w:val="2"/>
        <w:spacing w:before="0" w:afterLines="50" w:after="120" w:line="360" w:lineRule="auto"/>
        <w:rPr>
          <w:rFonts w:ascii="Book Antiqua" w:hAnsi="Book Antiqua"/>
        </w:rPr>
      </w:pPr>
      <w:r w:rsidRPr="00963EB3">
        <w:rPr>
          <w:rFonts w:ascii="Book Antiqua" w:hAnsi="Book Antiqua"/>
        </w:rPr>
        <w:t>R2-8. Reference Error: Gong et al. (2020)</w:t>
      </w:r>
    </w:p>
    <w:p w14:paraId="19F3AE28" w14:textId="77777777" w:rsidR="005150AD" w:rsidRPr="00080047" w:rsidRDefault="00000000" w:rsidP="003F147C">
      <w:pPr>
        <w:pBdr>
          <w:left w:val="single" w:sz="3" w:space="8" w:color="808080"/>
        </w:pBdr>
        <w:spacing w:afterLines="50" w:after="120" w:line="360" w:lineRule="auto"/>
        <w:ind w:left="480"/>
        <w:rPr>
          <w:rFonts w:ascii="Book Antiqua" w:hAnsi="Book Antiqua"/>
          <w:sz w:val="24"/>
          <w:szCs w:val="24"/>
        </w:rPr>
      </w:pPr>
      <w:r w:rsidRPr="00080047">
        <w:rPr>
          <w:rFonts w:ascii="Book Antiqua" w:eastAsia="Times New Roman" w:hAnsi="Book Antiqua"/>
          <w:i/>
          <w:iCs/>
          <w:color w:val="404040"/>
          <w:sz w:val="24"/>
          <w:szCs w:val="24"/>
        </w:rPr>
        <w:t>Reference “Gong et al. (2020)” has a mistake. The title field contains a fragment of a footnote regarding NetLogo source code modification. Correct or replace this bibliographic entry.</w:t>
      </w:r>
    </w:p>
    <w:p w14:paraId="796F109A"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6E46947A" w14:textId="7A0E2D80" w:rsidR="005150AD" w:rsidRPr="00080047" w:rsidRDefault="00B84055"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Please see our “Minor” response to referee #1 above.</w:t>
      </w:r>
    </w:p>
    <w:p w14:paraId="205A07FA" w14:textId="77777777" w:rsidR="008A4BF4" w:rsidRDefault="008A4BF4">
      <w:pPr>
        <w:widowControl/>
        <w:rPr>
          <w:rFonts w:ascii="Book Antiqua" w:hAnsi="Book Antiqua"/>
          <w:b/>
          <w:bCs/>
          <w:sz w:val="28"/>
          <w:szCs w:val="28"/>
        </w:rPr>
      </w:pPr>
      <w:r>
        <w:rPr>
          <w:rFonts w:ascii="Book Antiqua" w:hAnsi="Book Antiqua"/>
          <w:b/>
          <w:bCs/>
          <w:sz w:val="28"/>
          <w:szCs w:val="28"/>
        </w:rPr>
        <w:br w:type="page"/>
      </w:r>
    </w:p>
    <w:p w14:paraId="01B2C301" w14:textId="7EF88D84" w:rsidR="005150AD" w:rsidRPr="003F147C" w:rsidRDefault="005150AD" w:rsidP="00AB242D">
      <w:pPr>
        <w:spacing w:before="360" w:after="160" w:line="360" w:lineRule="auto"/>
        <w:jc w:val="center"/>
        <w:rPr>
          <w:rFonts w:ascii="Book Antiqua" w:hAnsi="Book Antiqua"/>
          <w:sz w:val="32"/>
          <w:szCs w:val="32"/>
        </w:rPr>
      </w:pPr>
      <w:r w:rsidRPr="003F147C">
        <w:rPr>
          <w:rFonts w:ascii="Book Antiqua" w:hAnsi="Book Antiqua"/>
          <w:b/>
          <w:bCs/>
          <w:sz w:val="40"/>
          <w:szCs w:val="40"/>
        </w:rPr>
        <w:lastRenderedPageBreak/>
        <w:t xml:space="preserve">References </w:t>
      </w:r>
      <w:r w:rsidR="00277FD7" w:rsidRPr="003F147C">
        <w:rPr>
          <w:rFonts w:ascii="Book Antiqua" w:hAnsi="Book Antiqua"/>
          <w:b/>
          <w:bCs/>
          <w:sz w:val="40"/>
          <w:szCs w:val="40"/>
        </w:rPr>
        <w:t>c</w:t>
      </w:r>
      <w:r w:rsidRPr="003F147C">
        <w:rPr>
          <w:rFonts w:ascii="Book Antiqua" w:hAnsi="Book Antiqua"/>
          <w:b/>
          <w:bCs/>
          <w:sz w:val="40"/>
          <w:szCs w:val="40"/>
        </w:rPr>
        <w:t xml:space="preserve">ited in </w:t>
      </w:r>
      <w:r w:rsidR="000B690A" w:rsidRPr="003F147C">
        <w:rPr>
          <w:rFonts w:ascii="Book Antiqua" w:hAnsi="Book Antiqua"/>
          <w:b/>
          <w:bCs/>
          <w:sz w:val="40"/>
          <w:szCs w:val="40"/>
        </w:rPr>
        <w:t>t</w:t>
      </w:r>
      <w:r w:rsidRPr="003F147C">
        <w:rPr>
          <w:rFonts w:ascii="Book Antiqua" w:hAnsi="Book Antiqua"/>
          <w:b/>
          <w:bCs/>
          <w:sz w:val="40"/>
          <w:szCs w:val="40"/>
        </w:rPr>
        <w:t xml:space="preserve">his </w:t>
      </w:r>
      <w:r w:rsidR="00277FD7" w:rsidRPr="003F147C">
        <w:rPr>
          <w:rFonts w:ascii="Book Antiqua" w:hAnsi="Book Antiqua"/>
          <w:b/>
          <w:bCs/>
          <w:sz w:val="40"/>
          <w:szCs w:val="40"/>
        </w:rPr>
        <w:t>r</w:t>
      </w:r>
      <w:r w:rsidRPr="003F147C">
        <w:rPr>
          <w:rFonts w:ascii="Book Antiqua" w:hAnsi="Book Antiqua"/>
          <w:b/>
          <w:bCs/>
          <w:sz w:val="40"/>
          <w:szCs w:val="40"/>
        </w:rPr>
        <w:t>esponse</w:t>
      </w:r>
      <w:r w:rsidR="00277FD7" w:rsidRPr="003F147C">
        <w:rPr>
          <w:rFonts w:ascii="Book Antiqua" w:hAnsi="Book Antiqua"/>
          <w:b/>
          <w:bCs/>
          <w:sz w:val="40"/>
          <w:szCs w:val="40"/>
        </w:rPr>
        <w:t xml:space="preserve"> letter</w:t>
      </w:r>
    </w:p>
    <w:p w14:paraId="01B2C302"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Banerjee, A. V. (1992). A simple model of herd behavior. </w:t>
      </w:r>
      <w:r w:rsidRPr="00AB242D">
        <w:rPr>
          <w:rFonts w:ascii="Book Antiqua" w:hAnsi="Book Antiqua"/>
          <w:i/>
          <w:iCs/>
          <w:sz w:val="24"/>
          <w:szCs w:val="24"/>
        </w:rPr>
        <w:t>Quarterly Journal of Economics</w:t>
      </w:r>
      <w:r w:rsidRPr="00AB242D">
        <w:rPr>
          <w:rFonts w:ascii="Book Antiqua" w:hAnsi="Book Antiqua"/>
          <w:sz w:val="24"/>
          <w:szCs w:val="24"/>
        </w:rPr>
        <w:t>, 107(3), 797–817.</w:t>
      </w:r>
    </w:p>
    <w:p w14:paraId="01B2C303"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Berenbrink, P., Hoefer, M., Kaaser, D., Lenzner, P., Rau, M., &amp; Schmand, D. (2024). Asynchronous opinion dynamics in social networks. </w:t>
      </w:r>
      <w:r w:rsidRPr="00AB242D">
        <w:rPr>
          <w:rFonts w:ascii="Book Antiqua" w:hAnsi="Book Antiqua"/>
          <w:i/>
          <w:iCs/>
          <w:sz w:val="24"/>
          <w:szCs w:val="24"/>
        </w:rPr>
        <w:t>Distributed Computing</w:t>
      </w:r>
      <w:r w:rsidRPr="00AB242D">
        <w:rPr>
          <w:rFonts w:ascii="Book Antiqua" w:hAnsi="Book Antiqua"/>
          <w:sz w:val="24"/>
          <w:szCs w:val="24"/>
        </w:rPr>
        <w:t>, 37(3), 207–224.</w:t>
      </w:r>
    </w:p>
    <w:p w14:paraId="01B2C304"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Cheng, C., Han, X., Tong, X., Wu, Y., &amp; Xing, Y. (2026). Degree-weighted social learning. </w:t>
      </w:r>
      <w:r w:rsidRPr="00AB242D">
        <w:rPr>
          <w:rFonts w:ascii="Book Antiqua" w:hAnsi="Book Antiqua"/>
          <w:i/>
          <w:iCs/>
          <w:sz w:val="24"/>
          <w:szCs w:val="24"/>
        </w:rPr>
        <w:t>American Economic Journal: Microeconomics</w:t>
      </w:r>
      <w:r w:rsidRPr="00AB242D">
        <w:rPr>
          <w:rFonts w:ascii="Book Antiqua" w:hAnsi="Book Antiqua"/>
          <w:sz w:val="24"/>
          <w:szCs w:val="24"/>
        </w:rPr>
        <w:t>. Forthcoming.</w:t>
      </w:r>
    </w:p>
    <w:p w14:paraId="01B2C305"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Deffuant, G., Neau, D., Amblard, F., &amp; Weisbuch, G. (2000). Mixing beliefs among interacting agents. </w:t>
      </w:r>
      <w:r w:rsidRPr="00AB242D">
        <w:rPr>
          <w:rFonts w:ascii="Book Antiqua" w:hAnsi="Book Antiqua"/>
          <w:i/>
          <w:iCs/>
          <w:sz w:val="24"/>
          <w:szCs w:val="24"/>
        </w:rPr>
        <w:t>Advances in Complex Systems</w:t>
      </w:r>
      <w:r w:rsidRPr="00AB242D">
        <w:rPr>
          <w:rFonts w:ascii="Book Antiqua" w:hAnsi="Book Antiqua"/>
          <w:sz w:val="24"/>
          <w:szCs w:val="24"/>
        </w:rPr>
        <w:t>, 3(1–4), 87–98.</w:t>
      </w:r>
    </w:p>
    <w:p w14:paraId="01B2C306"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Deffuant, G., Amblard, F., Weisbuch, G., &amp; Faure, T. (2002). How can extremism prevail? A study based on the relative agreement interaction model. </w:t>
      </w:r>
      <w:r w:rsidRPr="00AB242D">
        <w:rPr>
          <w:rFonts w:ascii="Book Antiqua" w:hAnsi="Book Antiqua"/>
          <w:i/>
          <w:iCs/>
          <w:sz w:val="24"/>
          <w:szCs w:val="24"/>
        </w:rPr>
        <w:t>Journal of Artificial Societies and Social Simulation</w:t>
      </w:r>
      <w:r w:rsidRPr="00AB242D">
        <w:rPr>
          <w:rFonts w:ascii="Book Antiqua" w:hAnsi="Book Antiqua"/>
          <w:sz w:val="24"/>
          <w:szCs w:val="24"/>
        </w:rPr>
        <w:t>, 5(4).</w:t>
      </w:r>
    </w:p>
    <w:p w14:paraId="01B2C307" w14:textId="2084C18A"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Erl, T. (2005). Service-Oriented Architecture: Concepts, Technology, and Design. Prentice Hall.</w:t>
      </w:r>
    </w:p>
    <w:p w14:paraId="01B2C308"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Golub, B., &amp; Jackson, M. O. (2010). Naïve learning in social networks and the wisdom of crowds. </w:t>
      </w:r>
      <w:r w:rsidRPr="00AB242D">
        <w:rPr>
          <w:rFonts w:ascii="Book Antiqua" w:hAnsi="Book Antiqua"/>
          <w:i/>
          <w:iCs/>
          <w:sz w:val="24"/>
          <w:szCs w:val="24"/>
        </w:rPr>
        <w:t>American Economic Journal: Microeconomics</w:t>
      </w:r>
      <w:r w:rsidRPr="00AB242D">
        <w:rPr>
          <w:rFonts w:ascii="Book Antiqua" w:hAnsi="Book Antiqua"/>
          <w:sz w:val="24"/>
          <w:szCs w:val="24"/>
        </w:rPr>
        <w:t>, 2(1), 112–149.</w:t>
      </w:r>
    </w:p>
    <w:p w14:paraId="01B2C309"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Golub, B., &amp; Jackson, M. O. (2012). How homophily affects the speed of learning and best-response dynamics. </w:t>
      </w:r>
      <w:r w:rsidRPr="00AB242D">
        <w:rPr>
          <w:rFonts w:ascii="Book Antiqua" w:hAnsi="Book Antiqua"/>
          <w:i/>
          <w:iCs/>
          <w:sz w:val="24"/>
          <w:szCs w:val="24"/>
        </w:rPr>
        <w:t>Quarterly Journal of Economics</w:t>
      </w:r>
      <w:r w:rsidRPr="00AB242D">
        <w:rPr>
          <w:rFonts w:ascii="Book Antiqua" w:hAnsi="Book Antiqua"/>
          <w:sz w:val="24"/>
          <w:szCs w:val="24"/>
        </w:rPr>
        <w:t>, 127(3), 1287–1338.</w:t>
      </w:r>
    </w:p>
    <w:p w14:paraId="01B2C30A"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Katz, M. L., &amp; Shapiro, C. (1985). Network externalities, competition, and compatibility. </w:t>
      </w:r>
      <w:r w:rsidRPr="00AB242D">
        <w:rPr>
          <w:rFonts w:ascii="Book Antiqua" w:hAnsi="Book Antiqua"/>
          <w:i/>
          <w:iCs/>
          <w:sz w:val="24"/>
          <w:szCs w:val="24"/>
        </w:rPr>
        <w:t>American Economic Review</w:t>
      </w:r>
      <w:r w:rsidRPr="00AB242D">
        <w:rPr>
          <w:rFonts w:ascii="Book Antiqua" w:hAnsi="Book Antiqua"/>
          <w:sz w:val="24"/>
          <w:szCs w:val="24"/>
        </w:rPr>
        <w:t>, 75(3), 424–440.</w:t>
      </w:r>
    </w:p>
    <w:p w14:paraId="01B2C30B"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McPherson, M., Smith-Lovin, L., &amp; Cook, J. M. (2001). Birds of a feather: Homophily in social networks. </w:t>
      </w:r>
      <w:r w:rsidRPr="00AB242D">
        <w:rPr>
          <w:rFonts w:ascii="Book Antiqua" w:hAnsi="Book Antiqua"/>
          <w:i/>
          <w:iCs/>
          <w:sz w:val="24"/>
          <w:szCs w:val="24"/>
        </w:rPr>
        <w:t>Annual Review of Sociology</w:t>
      </w:r>
      <w:r w:rsidRPr="00AB242D">
        <w:rPr>
          <w:rFonts w:ascii="Book Antiqua" w:hAnsi="Book Antiqua"/>
          <w:sz w:val="24"/>
          <w:szCs w:val="24"/>
        </w:rPr>
        <w:t>, 27(1), 415–444.</w:t>
      </w:r>
    </w:p>
    <w:p w14:paraId="01B2C30C"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Morris, S., &amp; Shin, H. S. (2003). Global games: Theory and applications. In M. Dewatripont, L. P. Hansen, &amp; S. J. Turnovsky (Eds.), Advances in Economics and Econometrics (Vol. 1, pp. 56–114). Cambridge University Press.</w:t>
      </w:r>
    </w:p>
    <w:p w14:paraId="01B2C30D"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Oliver, P., Marwell, G., &amp; Teixeira, R. (1985). A theory of the critical mass. </w:t>
      </w:r>
      <w:r w:rsidRPr="00AB242D">
        <w:rPr>
          <w:rFonts w:ascii="Book Antiqua" w:hAnsi="Book Antiqua"/>
          <w:i/>
          <w:iCs/>
          <w:sz w:val="24"/>
          <w:szCs w:val="24"/>
        </w:rPr>
        <w:t>American Journal of Sociology</w:t>
      </w:r>
      <w:r w:rsidRPr="00AB242D">
        <w:rPr>
          <w:rFonts w:ascii="Book Antiqua" w:hAnsi="Book Antiqua"/>
          <w:sz w:val="24"/>
          <w:szCs w:val="24"/>
        </w:rPr>
        <w:t>, 91(3), 522–556.</w:t>
      </w:r>
    </w:p>
    <w:p w14:paraId="01B2C30E"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Rogers, E. M. (2003). Diffusion of Innovations (5th ed.). Free Press.</w:t>
      </w:r>
    </w:p>
    <w:p w14:paraId="01B2C30F" w14:textId="311B621C"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Valente, T. W. (1996). </w:t>
      </w:r>
      <w:r w:rsidR="0085688F" w:rsidRPr="00AB242D">
        <w:rPr>
          <w:rFonts w:ascii="Book Antiqua" w:hAnsi="Book Antiqua"/>
          <w:sz w:val="24"/>
          <w:szCs w:val="24"/>
        </w:rPr>
        <w:t>Network models of the diffusion of innovations</w:t>
      </w:r>
      <w:r w:rsidRPr="00AB242D">
        <w:rPr>
          <w:rFonts w:ascii="Book Antiqua" w:hAnsi="Book Antiqua" w:hint="eastAsia"/>
          <w:sz w:val="24"/>
          <w:szCs w:val="24"/>
        </w:rPr>
        <w:t>.</w:t>
      </w:r>
      <w:r w:rsidRPr="00AB242D">
        <w:rPr>
          <w:rFonts w:ascii="Book Antiqua" w:hAnsi="Book Antiqua"/>
          <w:sz w:val="24"/>
          <w:szCs w:val="24"/>
        </w:rPr>
        <w:t xml:space="preserve"> </w:t>
      </w:r>
      <w:r w:rsidR="0085688F" w:rsidRPr="00AB242D">
        <w:rPr>
          <w:rFonts w:ascii="Book Antiqua" w:hAnsi="Book Antiqua"/>
          <w:i/>
          <w:iCs/>
          <w:sz w:val="24"/>
          <w:szCs w:val="24"/>
        </w:rPr>
        <w:t>Computational and Mathematical Organization Theory, 2(2), 163-164</w:t>
      </w:r>
      <w:r w:rsidRPr="00AB242D">
        <w:rPr>
          <w:rFonts w:ascii="Book Antiqua" w:hAnsi="Book Antiqua"/>
          <w:sz w:val="24"/>
          <w:szCs w:val="24"/>
        </w:rPr>
        <w:t>.</w:t>
      </w:r>
    </w:p>
    <w:p w14:paraId="594A1CF6" w14:textId="60E30329" w:rsidR="00AB242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Watts, D. J. (2004). A simple model of global cascades on random networks. In E. Ostrom &amp; T. K. Ahn (Eds.), Foundations of Social Capital (pp. 316–334). Edward Elgar Publishing.</w:t>
      </w:r>
    </w:p>
    <w:sectPr w:rsidR="00AB242D" w:rsidRPr="00AB242D" w:rsidSect="008A4BF4">
      <w:pgSz w:w="12240" w:h="15840"/>
      <w:pgMar w:top="567" w:right="567" w:bottom="567" w:left="56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D1C72"/>
    <w:multiLevelType w:val="hybridMultilevel"/>
    <w:tmpl w:val="1E32C6A8"/>
    <w:lvl w:ilvl="0" w:tplc="30BAE0C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5904FF3"/>
    <w:multiLevelType w:val="hybridMultilevel"/>
    <w:tmpl w:val="D6A057B4"/>
    <w:lvl w:ilvl="0" w:tplc="62E430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AAB0B9A"/>
    <w:multiLevelType w:val="hybridMultilevel"/>
    <w:tmpl w:val="8AC2DC6C"/>
    <w:lvl w:ilvl="0" w:tplc="04090001">
      <w:start w:val="1"/>
      <w:numFmt w:val="bullet"/>
      <w:lvlText w:val=""/>
      <w:lvlJc w:val="left"/>
      <w:pPr>
        <w:ind w:left="3360" w:hanging="480"/>
      </w:pPr>
      <w:rPr>
        <w:rFonts w:ascii="Wingdings" w:hAnsi="Wingdings" w:hint="default"/>
      </w:rPr>
    </w:lvl>
    <w:lvl w:ilvl="1" w:tplc="04090003" w:tentative="1">
      <w:start w:val="1"/>
      <w:numFmt w:val="bullet"/>
      <w:lvlText w:val=""/>
      <w:lvlJc w:val="left"/>
      <w:pPr>
        <w:ind w:left="3840" w:hanging="480"/>
      </w:pPr>
      <w:rPr>
        <w:rFonts w:ascii="Wingdings" w:hAnsi="Wingdings" w:hint="default"/>
      </w:rPr>
    </w:lvl>
    <w:lvl w:ilvl="2" w:tplc="04090005" w:tentative="1">
      <w:start w:val="1"/>
      <w:numFmt w:val="bullet"/>
      <w:lvlText w:val=""/>
      <w:lvlJc w:val="left"/>
      <w:pPr>
        <w:ind w:left="4320" w:hanging="480"/>
      </w:pPr>
      <w:rPr>
        <w:rFonts w:ascii="Wingdings" w:hAnsi="Wingdings" w:hint="default"/>
      </w:rPr>
    </w:lvl>
    <w:lvl w:ilvl="3" w:tplc="04090001" w:tentative="1">
      <w:start w:val="1"/>
      <w:numFmt w:val="bullet"/>
      <w:lvlText w:val=""/>
      <w:lvlJc w:val="left"/>
      <w:pPr>
        <w:ind w:left="4800" w:hanging="480"/>
      </w:pPr>
      <w:rPr>
        <w:rFonts w:ascii="Wingdings" w:hAnsi="Wingdings" w:hint="default"/>
      </w:rPr>
    </w:lvl>
    <w:lvl w:ilvl="4" w:tplc="04090003" w:tentative="1">
      <w:start w:val="1"/>
      <w:numFmt w:val="bullet"/>
      <w:lvlText w:val=""/>
      <w:lvlJc w:val="left"/>
      <w:pPr>
        <w:ind w:left="5280" w:hanging="480"/>
      </w:pPr>
      <w:rPr>
        <w:rFonts w:ascii="Wingdings" w:hAnsi="Wingdings" w:hint="default"/>
      </w:rPr>
    </w:lvl>
    <w:lvl w:ilvl="5" w:tplc="04090005" w:tentative="1">
      <w:start w:val="1"/>
      <w:numFmt w:val="bullet"/>
      <w:lvlText w:val=""/>
      <w:lvlJc w:val="left"/>
      <w:pPr>
        <w:ind w:left="5760" w:hanging="480"/>
      </w:pPr>
      <w:rPr>
        <w:rFonts w:ascii="Wingdings" w:hAnsi="Wingdings" w:hint="default"/>
      </w:rPr>
    </w:lvl>
    <w:lvl w:ilvl="6" w:tplc="04090001" w:tentative="1">
      <w:start w:val="1"/>
      <w:numFmt w:val="bullet"/>
      <w:lvlText w:val=""/>
      <w:lvlJc w:val="left"/>
      <w:pPr>
        <w:ind w:left="6240" w:hanging="480"/>
      </w:pPr>
      <w:rPr>
        <w:rFonts w:ascii="Wingdings" w:hAnsi="Wingdings" w:hint="default"/>
      </w:rPr>
    </w:lvl>
    <w:lvl w:ilvl="7" w:tplc="04090003" w:tentative="1">
      <w:start w:val="1"/>
      <w:numFmt w:val="bullet"/>
      <w:lvlText w:val=""/>
      <w:lvlJc w:val="left"/>
      <w:pPr>
        <w:ind w:left="6720" w:hanging="480"/>
      </w:pPr>
      <w:rPr>
        <w:rFonts w:ascii="Wingdings" w:hAnsi="Wingdings" w:hint="default"/>
      </w:rPr>
    </w:lvl>
    <w:lvl w:ilvl="8" w:tplc="04090005" w:tentative="1">
      <w:start w:val="1"/>
      <w:numFmt w:val="bullet"/>
      <w:lvlText w:val=""/>
      <w:lvlJc w:val="left"/>
      <w:pPr>
        <w:ind w:left="7200" w:hanging="480"/>
      </w:pPr>
      <w:rPr>
        <w:rFonts w:ascii="Wingdings" w:hAnsi="Wingdings" w:hint="default"/>
      </w:rPr>
    </w:lvl>
  </w:abstractNum>
  <w:abstractNum w:abstractNumId="3" w15:restartNumberingAfterBreak="0">
    <w:nsid w:val="336F7424"/>
    <w:multiLevelType w:val="hybridMultilevel"/>
    <w:tmpl w:val="D5FA4FCC"/>
    <w:lvl w:ilvl="0" w:tplc="DE4CA5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E4A4B1C"/>
    <w:multiLevelType w:val="hybridMultilevel"/>
    <w:tmpl w:val="5E00A028"/>
    <w:lvl w:ilvl="0" w:tplc="9B408624">
      <w:start w:val="1"/>
      <w:numFmt w:val="bullet"/>
      <w:lvlText w:val="●"/>
      <w:lvlJc w:val="left"/>
      <w:pPr>
        <w:ind w:left="720" w:hanging="360"/>
      </w:pPr>
    </w:lvl>
    <w:lvl w:ilvl="1" w:tplc="9C840CAE">
      <w:start w:val="1"/>
      <w:numFmt w:val="bullet"/>
      <w:lvlText w:val="○"/>
      <w:lvlJc w:val="left"/>
      <w:pPr>
        <w:ind w:left="1440" w:hanging="360"/>
      </w:pPr>
    </w:lvl>
    <w:lvl w:ilvl="2" w:tplc="AB3A7A62">
      <w:start w:val="1"/>
      <w:numFmt w:val="bullet"/>
      <w:lvlText w:val="■"/>
      <w:lvlJc w:val="left"/>
      <w:pPr>
        <w:ind w:left="2160" w:hanging="360"/>
      </w:pPr>
    </w:lvl>
    <w:lvl w:ilvl="3" w:tplc="87E03C44">
      <w:start w:val="1"/>
      <w:numFmt w:val="bullet"/>
      <w:lvlText w:val="●"/>
      <w:lvlJc w:val="left"/>
      <w:pPr>
        <w:ind w:left="2880" w:hanging="360"/>
      </w:pPr>
    </w:lvl>
    <w:lvl w:ilvl="4" w:tplc="54E07CDE">
      <w:start w:val="1"/>
      <w:numFmt w:val="bullet"/>
      <w:lvlText w:val="○"/>
      <w:lvlJc w:val="left"/>
      <w:pPr>
        <w:ind w:left="3600" w:hanging="360"/>
      </w:pPr>
    </w:lvl>
    <w:lvl w:ilvl="5" w:tplc="B1CC6D96">
      <w:start w:val="1"/>
      <w:numFmt w:val="bullet"/>
      <w:lvlText w:val="■"/>
      <w:lvlJc w:val="left"/>
      <w:pPr>
        <w:ind w:left="4320" w:hanging="360"/>
      </w:pPr>
    </w:lvl>
    <w:lvl w:ilvl="6" w:tplc="AAAE55B6">
      <w:start w:val="1"/>
      <w:numFmt w:val="bullet"/>
      <w:lvlText w:val="●"/>
      <w:lvlJc w:val="left"/>
      <w:pPr>
        <w:ind w:left="5040" w:hanging="360"/>
      </w:pPr>
    </w:lvl>
    <w:lvl w:ilvl="7" w:tplc="8CD06EAA">
      <w:start w:val="1"/>
      <w:numFmt w:val="bullet"/>
      <w:lvlText w:val="●"/>
      <w:lvlJc w:val="left"/>
      <w:pPr>
        <w:ind w:left="5760" w:hanging="360"/>
      </w:pPr>
    </w:lvl>
    <w:lvl w:ilvl="8" w:tplc="FBEE9494">
      <w:start w:val="1"/>
      <w:numFmt w:val="bullet"/>
      <w:lvlText w:val="●"/>
      <w:lvlJc w:val="left"/>
      <w:pPr>
        <w:ind w:left="6480" w:hanging="360"/>
      </w:pPr>
    </w:lvl>
  </w:abstractNum>
  <w:abstractNum w:abstractNumId="5" w15:restartNumberingAfterBreak="0">
    <w:nsid w:val="635C7FEF"/>
    <w:multiLevelType w:val="hybridMultilevel"/>
    <w:tmpl w:val="9892A422"/>
    <w:lvl w:ilvl="0" w:tplc="F0C8E7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E2845BC"/>
    <w:multiLevelType w:val="hybridMultilevel"/>
    <w:tmpl w:val="EC8E84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71675B4C"/>
    <w:multiLevelType w:val="hybridMultilevel"/>
    <w:tmpl w:val="912CCA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BFE04AC"/>
    <w:multiLevelType w:val="hybridMultilevel"/>
    <w:tmpl w:val="CC8CD0DE"/>
    <w:lvl w:ilvl="0" w:tplc="A69A1608">
      <w:start w:val="1"/>
      <w:numFmt w:val="bullet"/>
      <w:lvlText w:val=""/>
      <w:lvlJc w:val="left"/>
      <w:pPr>
        <w:ind w:left="720" w:hanging="360"/>
      </w:pPr>
      <w:rPr>
        <w:rFonts w:ascii="Symbol" w:hAnsi="Symbol" w:hint="default"/>
        <w:b w:val="0"/>
        <w:i w:val="0"/>
        <w:sz w:val="15"/>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4964174">
    <w:abstractNumId w:val="4"/>
    <w:lvlOverride w:ilvl="0">
      <w:startOverride w:val="1"/>
    </w:lvlOverride>
  </w:num>
  <w:num w:numId="2" w16cid:durableId="970214040">
    <w:abstractNumId w:val="7"/>
  </w:num>
  <w:num w:numId="3" w16cid:durableId="859903193">
    <w:abstractNumId w:val="6"/>
  </w:num>
  <w:num w:numId="4" w16cid:durableId="1457718362">
    <w:abstractNumId w:val="2"/>
  </w:num>
  <w:num w:numId="5" w16cid:durableId="799811363">
    <w:abstractNumId w:val="0"/>
  </w:num>
  <w:num w:numId="6" w16cid:durableId="1694381275">
    <w:abstractNumId w:val="5"/>
  </w:num>
  <w:num w:numId="7" w16cid:durableId="1249772191">
    <w:abstractNumId w:val="1"/>
  </w:num>
  <w:num w:numId="8" w16cid:durableId="1321421027">
    <w:abstractNumId w:val="8"/>
  </w:num>
  <w:num w:numId="9" w16cid:durableId="1658724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0AD"/>
    <w:rsid w:val="0000067E"/>
    <w:rsid w:val="00000A74"/>
    <w:rsid w:val="000074ED"/>
    <w:rsid w:val="00016EA3"/>
    <w:rsid w:val="00020808"/>
    <w:rsid w:val="0002428D"/>
    <w:rsid w:val="0006403B"/>
    <w:rsid w:val="00067FDA"/>
    <w:rsid w:val="000707E9"/>
    <w:rsid w:val="00076416"/>
    <w:rsid w:val="00080047"/>
    <w:rsid w:val="000B690A"/>
    <w:rsid w:val="000D4D69"/>
    <w:rsid w:val="000E13A0"/>
    <w:rsid w:val="000F7394"/>
    <w:rsid w:val="00100330"/>
    <w:rsid w:val="00136255"/>
    <w:rsid w:val="00150F93"/>
    <w:rsid w:val="001608B1"/>
    <w:rsid w:val="00167C5F"/>
    <w:rsid w:val="00170396"/>
    <w:rsid w:val="00182944"/>
    <w:rsid w:val="00190302"/>
    <w:rsid w:val="001B1A5A"/>
    <w:rsid w:val="001C66C7"/>
    <w:rsid w:val="001D3EE9"/>
    <w:rsid w:val="001E5233"/>
    <w:rsid w:val="001F7629"/>
    <w:rsid w:val="0022194A"/>
    <w:rsid w:val="00227FE7"/>
    <w:rsid w:val="002344C9"/>
    <w:rsid w:val="00267654"/>
    <w:rsid w:val="00271B7E"/>
    <w:rsid w:val="00277FD7"/>
    <w:rsid w:val="002A3058"/>
    <w:rsid w:val="002E1DA3"/>
    <w:rsid w:val="003237EF"/>
    <w:rsid w:val="003261EA"/>
    <w:rsid w:val="00331A40"/>
    <w:rsid w:val="0036741E"/>
    <w:rsid w:val="00393473"/>
    <w:rsid w:val="00393616"/>
    <w:rsid w:val="003A5562"/>
    <w:rsid w:val="003C3B1E"/>
    <w:rsid w:val="003D6BBA"/>
    <w:rsid w:val="003E0F2E"/>
    <w:rsid w:val="003E3B9F"/>
    <w:rsid w:val="003E6B31"/>
    <w:rsid w:val="003F147C"/>
    <w:rsid w:val="00451EC7"/>
    <w:rsid w:val="00460196"/>
    <w:rsid w:val="004719BC"/>
    <w:rsid w:val="004813C3"/>
    <w:rsid w:val="00485A09"/>
    <w:rsid w:val="0048734F"/>
    <w:rsid w:val="00493642"/>
    <w:rsid w:val="004A0E0F"/>
    <w:rsid w:val="004A5AEC"/>
    <w:rsid w:val="004C3BEF"/>
    <w:rsid w:val="004E5BFD"/>
    <w:rsid w:val="004E7DDC"/>
    <w:rsid w:val="005150AD"/>
    <w:rsid w:val="005375E2"/>
    <w:rsid w:val="005410F2"/>
    <w:rsid w:val="005752F9"/>
    <w:rsid w:val="005777DC"/>
    <w:rsid w:val="00595E33"/>
    <w:rsid w:val="005A1A8C"/>
    <w:rsid w:val="005A5283"/>
    <w:rsid w:val="005C3719"/>
    <w:rsid w:val="005C4F2C"/>
    <w:rsid w:val="005E27BB"/>
    <w:rsid w:val="005F6E50"/>
    <w:rsid w:val="00607937"/>
    <w:rsid w:val="00630B2A"/>
    <w:rsid w:val="00635BA4"/>
    <w:rsid w:val="00651728"/>
    <w:rsid w:val="006620F5"/>
    <w:rsid w:val="00693160"/>
    <w:rsid w:val="0069511C"/>
    <w:rsid w:val="006B7A78"/>
    <w:rsid w:val="006D4394"/>
    <w:rsid w:val="00702E51"/>
    <w:rsid w:val="00706BAD"/>
    <w:rsid w:val="00712600"/>
    <w:rsid w:val="00760FB2"/>
    <w:rsid w:val="00786DC9"/>
    <w:rsid w:val="00794389"/>
    <w:rsid w:val="007A1549"/>
    <w:rsid w:val="007D4A84"/>
    <w:rsid w:val="007F244D"/>
    <w:rsid w:val="008178F3"/>
    <w:rsid w:val="008251D8"/>
    <w:rsid w:val="008274F5"/>
    <w:rsid w:val="008465F0"/>
    <w:rsid w:val="0085688F"/>
    <w:rsid w:val="0088197E"/>
    <w:rsid w:val="0088425A"/>
    <w:rsid w:val="0088750E"/>
    <w:rsid w:val="008A4BF4"/>
    <w:rsid w:val="008A71A0"/>
    <w:rsid w:val="008B6082"/>
    <w:rsid w:val="008D06E2"/>
    <w:rsid w:val="008F417F"/>
    <w:rsid w:val="00904E86"/>
    <w:rsid w:val="009527E9"/>
    <w:rsid w:val="00960178"/>
    <w:rsid w:val="00963EB3"/>
    <w:rsid w:val="00980C5C"/>
    <w:rsid w:val="009912F2"/>
    <w:rsid w:val="009E0EE3"/>
    <w:rsid w:val="00A01762"/>
    <w:rsid w:val="00A262B6"/>
    <w:rsid w:val="00A45C63"/>
    <w:rsid w:val="00A7185A"/>
    <w:rsid w:val="00A756FD"/>
    <w:rsid w:val="00A90F7E"/>
    <w:rsid w:val="00A93C64"/>
    <w:rsid w:val="00AA4697"/>
    <w:rsid w:val="00AB242D"/>
    <w:rsid w:val="00AC1575"/>
    <w:rsid w:val="00AE5311"/>
    <w:rsid w:val="00B167C8"/>
    <w:rsid w:val="00B17A8F"/>
    <w:rsid w:val="00B20B8A"/>
    <w:rsid w:val="00B8166A"/>
    <w:rsid w:val="00B82DDF"/>
    <w:rsid w:val="00B82F68"/>
    <w:rsid w:val="00B839E3"/>
    <w:rsid w:val="00B84055"/>
    <w:rsid w:val="00B863B6"/>
    <w:rsid w:val="00BA31AA"/>
    <w:rsid w:val="00BB394A"/>
    <w:rsid w:val="00BC0BCC"/>
    <w:rsid w:val="00BE487B"/>
    <w:rsid w:val="00C06900"/>
    <w:rsid w:val="00C44A62"/>
    <w:rsid w:val="00C66D0E"/>
    <w:rsid w:val="00C75336"/>
    <w:rsid w:val="00C96474"/>
    <w:rsid w:val="00CC1C3D"/>
    <w:rsid w:val="00CC71FC"/>
    <w:rsid w:val="00D43B55"/>
    <w:rsid w:val="00D54482"/>
    <w:rsid w:val="00D67E08"/>
    <w:rsid w:val="00D71FCD"/>
    <w:rsid w:val="00D83B7C"/>
    <w:rsid w:val="00D86D7F"/>
    <w:rsid w:val="00DC1EB5"/>
    <w:rsid w:val="00DD7E0B"/>
    <w:rsid w:val="00DF0CB6"/>
    <w:rsid w:val="00DF75D7"/>
    <w:rsid w:val="00E01196"/>
    <w:rsid w:val="00E0496D"/>
    <w:rsid w:val="00E05714"/>
    <w:rsid w:val="00E15DA1"/>
    <w:rsid w:val="00E3323F"/>
    <w:rsid w:val="00E60573"/>
    <w:rsid w:val="00E86430"/>
    <w:rsid w:val="00EA532F"/>
    <w:rsid w:val="00EB63D9"/>
    <w:rsid w:val="00EB72E9"/>
    <w:rsid w:val="00ED5AC4"/>
    <w:rsid w:val="00ED5C72"/>
    <w:rsid w:val="00EE1E9C"/>
    <w:rsid w:val="00EE2914"/>
    <w:rsid w:val="00EE700E"/>
    <w:rsid w:val="00F211CC"/>
    <w:rsid w:val="00F25992"/>
    <w:rsid w:val="00F508C1"/>
    <w:rsid w:val="00F60809"/>
    <w:rsid w:val="00F6447A"/>
    <w:rsid w:val="00F73695"/>
    <w:rsid w:val="00F96095"/>
    <w:rsid w:val="00FC180B"/>
    <w:rsid w:val="00FF425B"/>
    <w:rsid w:val="00FF7CD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C26E9E8"/>
  <w15:docId w15:val="{914A3A77-3FC5-2349-995F-8439A4D2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Times New Roman"/>
      <w:b/>
      <w:bCs/>
      <w:sz w:val="28"/>
      <w:szCs w:val="28"/>
    </w:rPr>
  </w:style>
  <w:style w:type="paragraph" w:styleId="2">
    <w:name w:val="heading 2"/>
    <w:uiPriority w:val="9"/>
    <w:unhideWhenUsed/>
    <w:qFormat/>
    <w:pPr>
      <w:spacing w:before="300" w:after="160"/>
      <w:outlineLvl w:val="1"/>
    </w:pPr>
    <w:rPr>
      <w:rFonts w:eastAsia="Times New Roman"/>
      <w:b/>
      <w:bCs/>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Unresolved Mention"/>
    <w:basedOn w:val="a0"/>
    <w:uiPriority w:val="99"/>
    <w:semiHidden/>
    <w:unhideWhenUsed/>
    <w:rsid w:val="00267654"/>
    <w:rPr>
      <w:color w:val="605E5C"/>
      <w:shd w:val="clear" w:color="auto" w:fill="E1DFDD"/>
    </w:rPr>
  </w:style>
  <w:style w:type="character" w:styleId="ad">
    <w:name w:val="FollowedHyperlink"/>
    <w:basedOn w:val="a0"/>
    <w:uiPriority w:val="99"/>
    <w:semiHidden/>
    <w:unhideWhenUsed/>
    <w:rsid w:val="0006403B"/>
    <w:rPr>
      <w:color w:val="96607D" w:themeColor="followedHyperlink"/>
      <w:u w:val="single"/>
    </w:rPr>
  </w:style>
  <w:style w:type="paragraph" w:customStyle="1" w:styleId="FirstParagraph">
    <w:name w:val="First Paragraph"/>
    <w:basedOn w:val="ae"/>
    <w:next w:val="ae"/>
    <w:qFormat/>
    <w:rsid w:val="000B690A"/>
    <w:pPr>
      <w:widowControl/>
      <w:spacing w:before="180" w:after="180"/>
    </w:pPr>
    <w:rPr>
      <w:rFonts w:asciiTheme="minorHAnsi" w:hAnsiTheme="minorHAnsi" w:cstheme="minorBidi"/>
      <w:sz w:val="24"/>
      <w:szCs w:val="24"/>
      <w:lang w:eastAsia="zh-CN"/>
    </w:rPr>
  </w:style>
  <w:style w:type="paragraph" w:styleId="ae">
    <w:name w:val="Body Text"/>
    <w:basedOn w:val="a"/>
    <w:link w:val="af"/>
    <w:uiPriority w:val="99"/>
    <w:semiHidden/>
    <w:unhideWhenUsed/>
    <w:rsid w:val="000B690A"/>
    <w:pPr>
      <w:spacing w:after="120"/>
    </w:pPr>
  </w:style>
  <w:style w:type="character" w:customStyle="1" w:styleId="af">
    <w:name w:val="本文 字元"/>
    <w:basedOn w:val="a0"/>
    <w:link w:val="ae"/>
    <w:uiPriority w:val="99"/>
    <w:semiHidden/>
    <w:rsid w:val="000B6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19</Pages>
  <Words>4833</Words>
  <Characters>28677</Characters>
  <Application>Microsoft Office Word</Application>
  <DocSecurity>0</DocSecurity>
  <Lines>419</Lines>
  <Paragraphs>126</Paragraphs>
  <ScaleCrop>false</ScaleCrop>
  <Company/>
  <LinksUpToDate>false</LinksUpToDate>
  <CharactersWithSpaces>33384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黃崇源</cp:lastModifiedBy>
  <cp:revision>182</cp:revision>
  <cp:lastPrinted>2026-04-06T04:37:00Z</cp:lastPrinted>
  <dcterms:created xsi:type="dcterms:W3CDTF">2026-04-04T18:51:00Z</dcterms:created>
  <dcterms:modified xsi:type="dcterms:W3CDTF">2026-04-06T04:37:00Z</dcterms:modified>
</cp:coreProperties>
</file>