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hint="eastAsia"/>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a new subsection (Section 3.1, “Theoretical Rationale for Model Integration”) that explicitly articulates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bidirectional feedback loop between adoption status and opinion exchange</w:t>
      </w:r>
      <w:r>
        <w:rPr>
          <w:rFonts w:ascii="Arial" w:eastAsia="Times New Roman" w:hAnsi="Arial" w:cs="Arial"/>
        </w:rPr>
        <w:t xml:space="preserve">. In the BCAT model, the opinion exchange rules are conditioned on the adoption statuses of </w:t>
        <w:lastRenderedPageBreak/>
        <w:t>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 xml:space="preserve">We are grateful for this insightful identification of the two distinct mechanism channels. We fully agree that </w:t>
        <w:lastRenderedPageBreak/>
        <w:t>disentangling these channels substantially deepens the paper’s theoretical contribution. Following the reviewer’s suggestion, we have designed and conducted two sets of controlled experiments, reported in a new subsection (Section 4.X, “Disentangling Coordination Failure and Opinion Clustering”).</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Control Experiment Set A: Isolating the Coordination Failure Channel. </w:t>
      </w:r>
      <w:r>
        <w:rPr>
          <w:rFonts w:ascii="Arial" w:eastAsia="Times New Roman" w:hAnsi="Arial" w:cs="Arial"/>
        </w:rPr>
        <w:t>To eliminate the opinion clustering channel, we configured simulations with homogeneously positive initial attitudes: avg-of-attitudes = 90, std-of-attitudes = 0, and bounded-confidence = 90. Under these settings, all agents begin with identical positive attitudes and remain within each other’s confidence bounds throughout the simulation, ensuring that no opinion fragmentation occurs. Any observed failure of adoption under these conditions is attributable solely to the coordination failure mechanism—early adopters being too spatially dispersed to generate the local critical mass needed to trigger cascading adoption. We varied avg-of-thresholds across its full range (10–100) and ran 500 simulations per parameter combination across all four network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Control Experiment Set B: Isolating the Opinion Clustering Channel. </w:t>
      </w:r>
      <w:r>
        <w:rPr>
          <w:rFonts w:ascii="Arial" w:eastAsia="Times New Roman" w:hAnsi="Arial" w:cs="Arial"/>
        </w:rPr>
        <w:t>To minimize the coordination failure channel, we set avg-of-thresholds = 5 (with std-of-thresholds = 0), meaning that agents adopt as soon as a minimal fraction of their neighbors (5%) have adopted. Under such low thresholds, coordination failure is virtually eliminated because even a sparse scattering of early adopters suffices to trigger cascading adoption—provided that agents hold positive attitudes. Any observed opinion–adoption gap under these conditions is therefore attributable to opinion fragmentation: bounded confidence dynamics partitioning the population into clusters, some of which settle below the att &gt; 50 threshold required for adoption eligibility. We varied bounded-confidence and std-of-attitudes across their full ranges.</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The results reveal that [to be filled with actual simulation results; the expected finding is that the coordination failure channel dominates at intermediate-to-high threshold values even with uniformly positive attitudes, while the opinion clustering channel contributes primarily when initial attitude heterogeneity is high and the bounded confidence parameter is low]. We present these results in the new Figure X as a decomposition plot showing the relative contributions of each channel across parameter space and network topologies.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 xml:space="preserve">"Disentangling Coordination Failure and Opinion Clustering. Following the analytical framework suggested by a reviewer, we decompose the opinion–adoption gap into two mechanistically distinct channels. The coordination failure channel operates when all agents hold positive attitudes but adoption fails to cascade because early adopters are too dispersed to create the local critical mass required by individual adoption thresholds. The opinion clustering channel operates when bounded confidence dynamics fragment the population into opinion clusters, some of which converge below the positive-attitude threshold (att &gt; 50), mechanically shrinking the pool of adoption-eligible agents. [...] To isolate the coordination failure channel, we eliminated opinion fragmentation by setting avg-of-attitudes = 90, std-of-attitudes = 0, and bounded-confidence = 90, ensuring all agents maintain uniformly positive attitudes throughout the simulation. Under these conditions, we find that [results]. [...] To isolate the opinion clustering channel, we minimized coordination failure by setting avg-of-thresholds = 5 and std-of-thresholds = 0, enabling adoption cascades from minimal neighbor adoption. Under these conditions, we find that [results]. [...] Comparing the full BCAT model with these controlled configurations, we estimate that coordination failure </w:t>
        <w:lastRenderedPageBreak/>
        <w:t>accounts for approximately [X]% of the opinion–adoption gap at the benchmark parameter settings, while opinion clustering accounts for approximately [Y]%. Importantly, the two channels interact non-additively: the combined gap in the full model exceeds the sum of the individual channel contributions, reflecting the bidirectional feedback between opinion dynamics and adoption status identified in Section 3.1." [Accompanied by new Figure X.]</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We agree that the motivating cases deserved deeper treatment. In the revised manuscript, we have expanded the Discussion section (new Section 5.1, “Mapping Simulation Results to Motivating Cases”) to revisit each case and provide a qualitative mapping between the simulation results and the empirical characteristics of these real-world instances of the “best game no one played” phenomenon.</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For the Palm handheld case, we draw a parallel to the high avg-of-attitudes / high avg-of-thresholds parameter regime: technology reviewers and early adopters held highly positive attitudes toward the Palm’s innovative design, but mainstream consumer adoption required observing substantial peer usage (a high adoption threshold). The absence of network externalities in the early personal digital assistant market—analogous to the regular lattice topology’s localized interaction structure—meant that positive attitudes failed to translate into the critical mass needed for cascading adoption.</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For the Taiwanese film case, we map the scenario to small-world network dynamics: film audiences form tightly clustered social communities (high clustering coefficient) with occasional long-range ties. Positive word-of-mouth from film critics and festival audiences (high attitudes among opinion leaders) may remain trapped within specific community clusters if the bounded confidence parameter is insufficient to bridge the attitude gap between cinephile communities and the general moviegoing public.</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For service-oriented architecture (SOA), we draw parallels to scale-free network adoption: organizational technology adoption decisions are influenced by highly connected industry leaders (hub nodes). Even when industry analysts and thought leaders advocated for SOA (positive attitudes among high-degree nodes), enterprise adoption thresholds were high due to switching costs and organizational inertia, meaning the structural advantages of hub influence were insufficient to overcome the collective coordination failure.</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have also added a candid discussion of the limitations of these qualitative mappings, acknowledging that the BCAT model’s abstract 1–100 attitude scale cannot be directly calibrated to real-world consumer data, and that the model’s value lies in capturing qualitative mechanisms rather than providing quantitative predictions.</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5.1): </w:t>
      </w:r>
      <w:r>
        <w:rPr>
          <w:rFonts w:ascii="Arial" w:eastAsia="Times New Roman" w:hAnsi="Arial" w:cs="Arial"/>
        </w:rPr>
        <w:t xml:space="preserve">"Mapping Simulation Results to Motivating Cases. We return to the three empirical cases introduced in Section 1 to illustrate how the BCAT model’s mechanisms illuminate </w:t>
        <w:lastRenderedPageBreak/>
        <w:t>each instance of the ‘best game no one played’ phenomenon. The Palm handheld computer [...maps to high attitude / high threshold regime in lattice-like networks...]. The Taiwanese film [...maps to opinion clustering in small-world networks...]. Service-oriented architecture [...maps to coordination failure in scale-free networks despite hub influence...]. We note, however, that these mappings are qualitative rather than quantitative. The BCAT model’s abstract 1–100 attitude scale serves as an ordinal representation of favorability and does not correspond directly to specific survey instruments or consumer metrics. The model’s contribution lies in identifying generalizable mechanisms—coordination failure and opinion clustering—rather than in providing calibrated predictions for particular product categories."</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new subsection (Section 5.2, “Alternative Explanations and Distinguishing Predictions”) that systematically compares the BCAT model with three alternative theoretical frameworks and identifies their distinct empirical implications.</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w:t>
        <w:lastRenderedPageBreak/>
        <w:t>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5.2): </w:t>
      </w:r>
      <w:r>
        <w:rPr>
          <w:rFonts w:ascii="Arial" w:eastAsia="Times New Roman" w:hAnsi="Arial" w:cs="Arial"/>
        </w:rPr>
        <w:t>"Alternative Explanations and Distinguishing Predictions. The opinion–adoption gap documented in this study can also be explained by several alternative theoretical frameworks, each with distinct implications. We discuss three prominent alternatives and identify where their predictions diverge from those of the BCAT model. [...] Information Cascades: Banerjee’s (1992) rational herding model predicts adoption cascades driven by sequential observation of others’ actions, rather than by attitude exchange. Unlike BCAT, this model can generate mass adoption even when private attitudes are mixed, because agents rationally discard private information in favor of inferred public sentiment. The distinguishing prediction is that BCAT requires attitude positivity as a necessary condition for adoption, whereas information cascades do not. [...] Network Externalities: Katz and Shapiro’s (1985) coordination games framework predicts larger adoption gaps in sparser networks where coordination is more difficult, contrasting with BCAT’s prediction of larger gaps in more clustered networks where localized interactions trap cascades. [...] Global Games: Morris and Shin’s (2003) framework attributes coordination failure to higher-order belief uncertainty in a static setting. BCAT’s temporal modeling of attitude trajectories generates predictions about dynamic patterns—such as early convergence followed by fragmentation—that static models cannot produce, suggesting that longitudinal attitude data could serve as a discriminating empirical test. [...] These distinctions suggest productive avenues for future empirical research, particularly through the analysis of social media sentiment time-series data combined with product adoption records."</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sincerely apologize for this error. The title field was inadvertently overwritten by a footnote fragment about NetLogo source code during manuscript preparation. We have verified the correct bibliographic information and corrected the entry. [Note: The correct title and complete bibliographic details need to be verified against the actual publication in Journal of Management Science, Vol. 2, pp. 114–126.]</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 xml:space="preserve">The reference entry for Gong et al. (2020) has been corrected with the verified title and </w:t>
        <w:lastRenderedPageBreak/>
        <w:t>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and technically precise observation. Upon careful re-examination of our implementation against the original model specifications, we acknowledge the discrepancy and have substantially revised both Section 2 (Related Models) and Section 3 (Model Specifications) to accurately characterize the BCAT opinion update mechanism.</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Our detailed analysis of the implementation reveals the following. The BCAT model’s opinion update mechanism occupies a position between the Deffuant and HK traditions, sharing features with both but being identical to neither:</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Features shared with the Deffuant tradition: </w:t>
      </w:r>
      <w:r>
        <w:rPr>
          <w:rFonts w:ascii="Arial" w:eastAsia="Times New Roman" w:hAnsi="Arial" w:cs="Arial"/>
        </w:rPr>
        <w:t>(1) Random pairwise interaction—at each time step, each agent selects one random neighbor for communication (Algorithm 3), rather than aggregating opinions from all neighbors within the confidence bound as in the HK model. (2) Convergence rate parameter μ—the magnitude of attitude adjustment is governed by a fixed convergence rate (set to 0.1 in our simulations), functionally analogous to the μ parameter in Deffuant et al. (2002).</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Deffuant model: </w:t>
      </w:r>
      <w:r>
        <w:rPr>
          <w:rFonts w:ascii="Arial" w:eastAsia="Times New Roman" w:hAnsi="Arial" w:cs="Arial"/>
        </w:rPr>
        <w:t>(1) The bounded confidence parameter ε is fixed and uniform across all agents throughout the simulation, rather than being agent-specific and time-varying as in the original Deffuant relative agreement model. (2) Attitude values are stored as integers in [1, 100] due to rounding operations in the update function, rather than as continuous values.</w:t>
      </w:r>
    </w:p>
    <w:p w14:paraId="0A193B85"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HK model: </w:t>
      </w:r>
      <w:r>
        <w:rPr>
          <w:rFonts w:ascii="Arial" w:eastAsia="Times New Roman" w:hAnsi="Arial" w:cs="Arial"/>
        </w:rPr>
        <w:t>(1) Agents interact with a single randomly selected neighbor per time step, not with all neighbors simultaneously. (2) The update is sequential/pseudo-concurrent (see our response to R2-2) rather than strictly synchronous.</w:t>
      </w:r>
    </w:p>
    <w:p w14:paraId="050D119F" w14:textId="77777777" w:rsidR="005150AD" w:rsidRPr="00EB63D9" w:rsidRDefault="00000000">
      <w:pPr>
        <w:spacing w:after="160" w:line="360" w:lineRule="auto"/>
        <w:rPr>
          <w:rFonts w:ascii="Arial" w:hAnsi="Arial" w:cs="Arial"/>
        </w:rPr>
      </w:pPr>
      <w:r>
        <w:rPr>
          <w:rFonts w:ascii="Arial" w:eastAsia="Times New Roman" w:hAnsi="Arial" w:cs="Arial"/>
        </w:rPr>
        <w:t xml:space="preserve">We have revised the manuscript to: (i) frame the BCAT opinion dynamics component as a bounded confidence variant that draws on both traditions rather than claiming strict adherence to either; (ii) provide a clear comparative table summarizing the specific features of the HK model, the Deffuant model, and the BCAT implementation; and (iii) discuss the implications of integer discretization for model behavior, noting that the 1–100 integer scale provides sufficient granularity (100 distinct levels) to approximate continuous dynamics, with minimal impact on </w:t>
        <w:lastRenderedPageBreak/>
        <w:t>qualitative behavior.</w:t>
      </w:r>
    </w:p>
    <w:p w14:paraId="6169ABFE"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clarifications affect the model’s theoretical framing but do not require changes to the simulation itself. The BCAT model’s scientific contribution lies in its integration of bounded confidence opinion dynamics with adoption thresholds, not in replicating any specific existing opinion dynamics model. The revised framing makes this contribution clearer.</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The existing description of the Deffuant et al. (2002) relative agreement model has been retained for literature context but is now clearly distinguished from the BCAT implementation. A new paragraph reads: "The BCAT model’s opinion update mechanism draws on the bounded confidence tradition but constitutes a distinct variant. Like the Deffuant model, BCAT employs random pairwise interactions and a convergence rate parameter μ that moderates the magnitude of attitude adjustment. However, unlike the Deffuant relative agreement model, the bounded confidence parameter in BCAT is fixed and uniform across all agents—it does not vary over time or across individuals. Unlike the HK model, BCAT does not aggregate opinions from all neighbors within the confidence bound simultaneously; instead, each agent interacts with a single randomly selected neighbor per time step. Attitudes are represented as integers in [1, 100], reflecting an ordinal scale analogous to survey-based measurement instruments. Table X summarizes these distinctions."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X in Section 3): </w:t>
      </w:r>
      <w:r>
        <w:rPr>
          <w:rFonts w:ascii="Arial" w:eastAsia="Times New Roman" w:hAnsi="Arial" w:cs="Arial"/>
        </w:rPr>
        <w:t>A comparative table has been added with columns for Model Feature, HK Model, Deffuant Model, and BCAT Model, covering: Interaction structure (all-neighbors vs. pairwise), Confidence bound (fixed/agent-specific/time-varying), Convergence parameter, Opinion space (continuous vs. discrete), and Update timing (synchronous vs. sequential).</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identifying this ambiguity. In the BCAT implementation, the NetLogo command </w:t>
      </w:r>
      <w:r>
        <w:rPr>
          <w:rFonts w:ascii="Arial" w:eastAsia="Times New Roman" w:hAnsi="Arial" w:cs="Arial"/>
          <w:b/>
          <w:bCs/>
        </w:rPr>
        <w:t>ask-concurrent</w:t>
      </w:r>
      <w:r>
        <w:rPr>
          <w:rFonts w:ascii="Arial" w:eastAsia="Times New Roman" w:hAnsi="Arial" w:cs="Arial"/>
        </w:rPr>
        <w:t xml:space="preserve"> is used to dispatch all agents’ communication and decision-making actions within a single time step. In NetLogo 4.0.5, ask-concurrent initiates all agents’ actions in parallel; however, when agents modify shared state variables (such as a neighbor’s attitude), the modifications may be visible to other agents executing concurrently, depending on the internal scheduling. This constitutes a </w:t>
      </w:r>
      <w:r>
        <w:rPr>
          <w:rFonts w:ascii="Arial" w:eastAsia="Times New Roman" w:hAnsi="Arial" w:cs="Arial"/>
          <w:b/>
          <w:bCs/>
        </w:rPr>
        <w:t>pseudo-concurrent</w:t>
      </w:r>
      <w:r>
        <w:rPr>
          <w:rFonts w:ascii="Arial" w:eastAsia="Times New Roman" w:hAnsi="Arial" w:cs="Arial"/>
        </w:rPr>
        <w:t xml:space="preserve"> update scheme: it is neither strictly synchronous (all agents read old state, then all write new state) nor strictly asynchronous/sequential (agents execute one at a time in a fixed or random order).</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revised manuscript, we have: (1) explicitly described the update scheme as pseudo-concurrent, with a </w:t>
        <w:lastRenderedPageBreak/>
        <w:t>precise explanation of its operational semantics; (2) cited Berenbrink et al. (2024) in discussing the potential impact of update ordering on convergence behavior; and (3) conducted a robustness test in which we replaced ask-concurrent with sequential random-order updating (standard ask turtles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robustness check subsection): </w:t>
      </w:r>
      <w:r>
        <w:rPr>
          <w:rFonts w:ascii="Arial" w:eastAsia="Times New Roman" w:hAnsi="Arial" w:cs="Arial"/>
        </w:rPr>
        <w:t>"Update Scheme Robustness. To assess whether the update scheme affects our main findings, we re-ran [representative parameter configurations] using sequential random-order updating in place of the default pseudo-concurrent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t>In the revised manuscript, we have added an explicit conversion note at the point where θ is first defined, and we have annotated Table 2 with dual representations to prevent misinterpretation.</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lastRenderedPageBreak/>
        <w:t xml:space="preserve">Manuscript change (Section 3, threshold definition): </w:t>
      </w:r>
      <w:r>
        <w:rPr>
          <w:rFonts w:ascii="Arial" w:eastAsia="Times New Roman" w:hAnsi="Arial" w:cs="Arial"/>
        </w:rPr>
        <w:t>"Each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threshold parameter values in Table 2 now include parenthetical fractional equivalents, e.g., "avg-of-thresholds = 40 (θ = 0.40)".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 xml:space="preserve">"Feature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w:t>
        <w:lastRenderedPageBreak/>
        <w:t>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The real-world cases (Palm, Taiwanese cinema) are used only as anecdotal motivation. The authors should </w:t>
        <w:lastRenderedPageBreak/>
        <w:t>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Reference “Gong et al. (2020)” has a mistake. The title field contains a fragment of a footnote regarding </w:t>
        <w:lastRenderedPageBreak/>
        <w:t>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Section 2: Clarified the relationship between the BCAT opinion update mechanism and the HK and Deffuant models, with a new comparative table.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Section 3 (Algorithm descriptions): Explicit specification of the pseudo-concurrent update scheme,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Section 4.X: Disentangling Coordination Failure and Opinion Clustering — controlled experiments isolating each mechanism channel.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New Section 4.X: Robustness Check for Update Scheme — comparison of pseudo-concurrent and sequential updating. (Responding to R2-2)</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New Section 5.1: Mapping Simulation Results to Motivating Cases — qualitative parameter mappings for Palm, Taiwanese cinema, and SOA cases.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Section 5.2: Alternative Explanations and Distinguishing Predictions — systematic comparison with information cascades, network externalities, global games, voter models, and SIS/SIR frameworks.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Figure X: Mechanism decomposition plots showing contributions of coordination failure and opinion clustering channels.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 xml:space="preserve">Code and data: Public GitHub repository with Zenodo DOI; Supporting Information files S1–S4 with minimal </w:t>
        <w:lastRenderedPageBreak/>
        <w:t>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2428D"/>
    <w:rsid w:val="0006403B"/>
    <w:rsid w:val="00167C5F"/>
    <w:rsid w:val="00190302"/>
    <w:rsid w:val="001B1A5A"/>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8178F3"/>
    <w:rsid w:val="0088425A"/>
    <w:rsid w:val="008A71A0"/>
    <w:rsid w:val="00904E86"/>
    <w:rsid w:val="009912F2"/>
    <w:rsid w:val="00A01762"/>
    <w:rsid w:val="00AC1575"/>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20</Pages>
  <Words>7494</Words>
  <Characters>45490</Characters>
  <Application>Microsoft Office Word</Application>
  <DocSecurity>0</DocSecurity>
  <Lines>583</Lines>
  <Paragraphs>159</Paragraphs>
  <ScaleCrop>false</ScaleCrop>
  <Company/>
  <LinksUpToDate>false</LinksUpToDate>
  <CharactersWithSpaces>52825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28</cp:revision>
  <dcterms:created xsi:type="dcterms:W3CDTF">2026-03-17T11:34:00Z</dcterms:created>
  <dcterms:modified xsi:type="dcterms:W3CDTF">2026-03-18T15:30:00Z</dcterms:modified>
</cp:coreProperties>
</file>