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values were computed using a Random Forest regression ensemble with 100 trees and the mean decrease in impurity (Gini importance) criterion, with all other hyperparameters at their default values. This information has been added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3 has been revised to include standard errors for the Random Forest feature importance values. Standard errors were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and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Upon the reviewer’s prompt, we conducted a systematic audit of all values in Table 3 and discovered that the Parameter Importance section contained a copy-paste error: the values were inadvertently duplicated from the Standardized Regression section with rows and columns transposed. This error has been corrected. The Parameter Importance rows now report Pearson correlation coefficients between each parameter and the adoption outcome variable, computed directly from the sensitivity analysis data. We additionally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w:t>
        <w:lastRenderedPageBreak/>
        <w:t>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 xml:space="preserve">"We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w:t>
        <w:lastRenderedPageBreak/>
        <w:t>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