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C3A13" w14:textId="77777777" w:rsidR="005150AD" w:rsidRPr="005A5283" w:rsidRDefault="005150AD">
      <w:pPr>
        <w:spacing w:before="2400"/>
        <w:rPr>
          <w:rFonts w:ascii="Book Antiqua" w:hAnsi="Book Antiqua"/>
        </w:rPr>
      </w:pPr>
    </w:p>
    <w:p w14:paraId="141CEF27" w14:textId="77777777" w:rsidR="005150AD" w:rsidRPr="005A5283" w:rsidRDefault="00000000">
      <w:pPr>
        <w:spacing w:after="240"/>
        <w:jc w:val="center"/>
        <w:rPr>
          <w:rFonts w:ascii="Book Antiqua" w:hAnsi="Book Antiqua"/>
        </w:rPr>
      </w:pPr>
      <w:r w:rsidRPr="005A5283">
        <w:rPr>
          <w:rFonts w:ascii="Book Antiqua" w:eastAsia="Times New Roman" w:hAnsi="Book Antiqua"/>
          <w:b/>
          <w:bCs/>
          <w:sz w:val="36"/>
          <w:szCs w:val="36"/>
        </w:rPr>
        <w:t>Response to Reviewers</w:t>
      </w:r>
    </w:p>
    <w:p w14:paraId="350F7593" w14:textId="77777777" w:rsidR="005150AD" w:rsidRPr="005A5283" w:rsidRDefault="00000000">
      <w:pPr>
        <w:spacing w:after="120"/>
        <w:jc w:val="center"/>
        <w:rPr>
          <w:rFonts w:ascii="Book Antiqua" w:hAnsi="Book Antiqua"/>
        </w:rPr>
      </w:pPr>
      <w:r w:rsidRPr="005A5283">
        <w:rPr>
          <w:rFonts w:ascii="Book Antiqua" w:eastAsia="Times New Roman" w:hAnsi="Book Antiqua"/>
          <w:sz w:val="24"/>
          <w:szCs w:val="24"/>
        </w:rPr>
        <w:t>Manuscript ID: PONE-D-26-01398</w:t>
      </w:r>
    </w:p>
    <w:p w14:paraId="2D1E4A0A" w14:textId="77777777" w:rsidR="005150AD" w:rsidRPr="005A5283" w:rsidRDefault="00000000">
      <w:pPr>
        <w:spacing w:after="480"/>
        <w:jc w:val="center"/>
        <w:rPr>
          <w:rFonts w:ascii="Book Antiqua" w:hAnsi="Book Antiqua"/>
        </w:rPr>
      </w:pPr>
      <w:r w:rsidRPr="005A5283">
        <w:rPr>
          <w:rFonts w:ascii="Book Antiqua" w:eastAsia="Times New Roman" w:hAnsi="Book Antiqua"/>
          <w:i/>
          <w:iCs/>
          <w:sz w:val="24"/>
          <w:szCs w:val="24"/>
        </w:rPr>
        <w:t>"Exploring the ‘Best Game No One Played’ Phenomenon Using A Mixed Opinion Dynamics and Innovation Diffusion Model"</w:t>
      </w:r>
    </w:p>
    <w:p w14:paraId="7E0B3FF7" w14:textId="77777777" w:rsidR="005150AD" w:rsidRPr="005A5283" w:rsidRDefault="00000000">
      <w:pPr>
        <w:spacing w:after="120"/>
        <w:jc w:val="center"/>
        <w:rPr>
          <w:rFonts w:ascii="Book Antiqua" w:hAnsi="Book Antiqua"/>
        </w:rPr>
      </w:pPr>
      <w:r w:rsidRPr="005A5283">
        <w:rPr>
          <w:rFonts w:ascii="Book Antiqua" w:eastAsia="Times New Roman" w:hAnsi="Book Antiqua"/>
          <w:sz w:val="24"/>
          <w:szCs w:val="24"/>
        </w:rPr>
        <w:t>Chung-Yuan Huang and Sheng-Wen Wang</w:t>
      </w:r>
    </w:p>
    <w:p w14:paraId="10A1DADF" w14:textId="77777777" w:rsidR="005150AD" w:rsidRPr="005A5283" w:rsidRDefault="00000000">
      <w:pPr>
        <w:rPr>
          <w:rFonts w:ascii="Book Antiqua" w:hAnsi="Book Antiqua"/>
        </w:rPr>
      </w:pPr>
      <w:r w:rsidRPr="005A5283">
        <w:rPr>
          <w:rFonts w:ascii="Book Antiqua" w:hAnsi="Book Antiqua"/>
        </w:rPr>
        <w:br w:type="page"/>
      </w:r>
    </w:p>
    <w:p w14:paraId="2C566578" w14:textId="77777777" w:rsidR="005150AD" w:rsidRPr="005A5283" w:rsidRDefault="00000000">
      <w:pPr>
        <w:pStyle w:val="1"/>
        <w:rPr>
          <w:rFonts w:ascii="Book Antiqua" w:hAnsi="Book Antiqua"/>
        </w:rPr>
      </w:pPr>
      <w:r w:rsidRPr="005A5283">
        <w:rPr>
          <w:rFonts w:ascii="Book Antiqua" w:hAnsi="Book Antiqua"/>
        </w:rPr>
        <w:lastRenderedPageBreak/>
        <w:t>Letter to the Academic Editor</w:t>
      </w:r>
    </w:p>
    <w:p w14:paraId="097F78E0"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 xml:space="preserve">Dear Prof. Krzysztof </w:t>
      </w:r>
      <w:proofErr w:type="spellStart"/>
      <w:r w:rsidRPr="005A5283">
        <w:rPr>
          <w:rFonts w:ascii="Book Antiqua" w:eastAsia="Times New Roman" w:hAnsi="Book Antiqua"/>
        </w:rPr>
        <w:t>Malarz</w:t>
      </w:r>
      <w:proofErr w:type="spellEnd"/>
      <w:r w:rsidRPr="005A5283">
        <w:rPr>
          <w:rFonts w:ascii="Book Antiqua" w:eastAsia="Times New Roman" w:hAnsi="Book Antiqua"/>
        </w:rPr>
        <w:t>,</w:t>
      </w:r>
    </w:p>
    <w:p w14:paraId="7A4CD967"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Thank you for handling our manuscript and for the opportunity to revise and resubmit. We are grateful to both reviewers for their thorough, constructive, and insightful evaluations. Their comments have substantially improved the theoretical depth, methodological rigor, and overall clarity of the manuscript.</w:t>
      </w:r>
    </w:p>
    <w:p w14:paraId="713D2ED0"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We have carefully addressed every point raised by the reviewers and the journal editorial office. The major changes in the revised manuscript include: (1) a substantially revised theoretical framework that explicitly articulates the rationale for integrating bounded confidence opinion dynamics with adoption thresholds, clarifying the model’s relationship to both the Hegselmann–Krause and Deffuant traditions; (2) new controlled experiments that disentangle the coordination failure channel from the opinion clustering channel; (3) a finite-size scaling analysis with N = 1,000 and N = 2,500 agents to establish robustness; (4) a new discussion section comparing the BCAT model with alternative theoretical frameworks, including information cascades, network externalities, and global games; (5) corrected and expanded statistical reporting in Table 2 with algorithm identification, standard errors, and verified data alignment; (6) an operational definition of critical mass within the BCAT framework; (7) reformatted figures replacing NetLogo GUI screenshots with author-generated visualizations; and (8) conversion to the PLOS LaTeX template with public code and data repositories.</w:t>
      </w:r>
    </w:p>
    <w:p w14:paraId="5339DF11"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 xml:space="preserve">Below, we provide a point-by-point response to all journal requirements and reviewer comments. Reviewer comments are shown in </w:t>
      </w:r>
      <w:r w:rsidRPr="005A5283">
        <w:rPr>
          <w:rFonts w:ascii="Book Antiqua" w:eastAsia="Times New Roman" w:hAnsi="Book Antiqua"/>
          <w:i/>
          <w:iCs/>
        </w:rPr>
        <w:t>gray italics</w:t>
      </w:r>
      <w:r w:rsidRPr="005A5283">
        <w:rPr>
          <w:rFonts w:ascii="Book Antiqua" w:eastAsia="Times New Roman" w:hAnsi="Book Antiqua"/>
        </w:rPr>
        <w:t xml:space="preserve">, our responses in regular text, and specific manuscript changes are highlighted in </w:t>
      </w:r>
      <w:r w:rsidRPr="005A5283">
        <w:rPr>
          <w:rFonts w:ascii="Book Antiqua" w:eastAsia="Times New Roman" w:hAnsi="Book Antiqua"/>
          <w:b/>
          <w:bCs/>
          <w:color w:val="2E75B6"/>
        </w:rPr>
        <w:t>blue-bordered blocks</w:t>
      </w:r>
      <w:r w:rsidRPr="005A5283">
        <w:rPr>
          <w:rFonts w:ascii="Book Antiqua" w:eastAsia="Times New Roman" w:hAnsi="Book Antiqua"/>
        </w:rPr>
        <w:t>.</w:t>
      </w:r>
    </w:p>
    <w:p w14:paraId="6E2F729A"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Sincerely,</w:t>
      </w:r>
    </w:p>
    <w:p w14:paraId="2D4C7F93"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Chung-Yuan Huang and Sheng-Wen Wang</w:t>
      </w:r>
    </w:p>
    <w:p w14:paraId="6AC6E72B" w14:textId="77777777" w:rsidR="005150AD" w:rsidRPr="005A5283" w:rsidRDefault="00000000">
      <w:pPr>
        <w:rPr>
          <w:rFonts w:ascii="Book Antiqua" w:hAnsi="Book Antiqua"/>
        </w:rPr>
      </w:pPr>
      <w:r w:rsidRPr="005A5283">
        <w:rPr>
          <w:rFonts w:ascii="Book Antiqua" w:hAnsi="Book Antiqua"/>
        </w:rPr>
        <w:br w:type="page"/>
      </w:r>
    </w:p>
    <w:p w14:paraId="6B9F425F" w14:textId="77777777" w:rsidR="005150AD" w:rsidRPr="00E86430" w:rsidRDefault="00000000">
      <w:pPr>
        <w:pStyle w:val="1"/>
        <w:rPr>
          <w:rFonts w:ascii="Book Antiqua" w:hAnsi="Book Antiqua"/>
          <w:sz w:val="24"/>
          <w:szCs w:val="24"/>
        </w:rPr>
      </w:pPr>
      <w:r w:rsidRPr="00E86430">
        <w:rPr>
          <w:rFonts w:ascii="Book Antiqua" w:hAnsi="Book Antiqua"/>
          <w:sz w:val="24"/>
          <w:szCs w:val="24"/>
        </w:rPr>
        <w:lastRenderedPageBreak/>
        <w:t>Part I: Journal Requirements</w:t>
      </w:r>
    </w:p>
    <w:p w14:paraId="57C22A20" w14:textId="77777777" w:rsidR="005150AD" w:rsidRPr="00E86430" w:rsidRDefault="00000000">
      <w:pPr>
        <w:pStyle w:val="2"/>
        <w:rPr>
          <w:rFonts w:ascii="Book Antiqua" w:hAnsi="Book Antiqua"/>
        </w:rPr>
      </w:pPr>
      <w:r w:rsidRPr="00E86430">
        <w:rPr>
          <w:rFonts w:ascii="Book Antiqua" w:hAnsi="Book Antiqua"/>
        </w:rPr>
        <w:t>JR-1. PLOS ONE Style Requirements</w:t>
      </w:r>
    </w:p>
    <w:p w14:paraId="4ED6F1F4" w14:textId="77777777" w:rsidR="005150AD" w:rsidRPr="00E86430" w:rsidRDefault="00000000">
      <w:pPr>
        <w:pBdr>
          <w:left w:val="single" w:sz="3" w:space="8" w:color="808080"/>
        </w:pBdr>
        <w:spacing w:after="160" w:line="360" w:lineRule="auto"/>
        <w:ind w:left="480"/>
        <w:rPr>
          <w:rFonts w:ascii="Book Antiqua" w:hAnsi="Book Antiqua"/>
          <w:sz w:val="24"/>
          <w:szCs w:val="24"/>
        </w:rPr>
      </w:pPr>
      <w:r w:rsidRPr="00E86430">
        <w:rPr>
          <w:rFonts w:ascii="Book Antiqua" w:eastAsia="Times New Roman" w:hAnsi="Book Antiqua"/>
          <w:i/>
          <w:iCs/>
          <w:color w:val="404040"/>
          <w:sz w:val="24"/>
          <w:szCs w:val="24"/>
        </w:rPr>
        <w:t>Please ensure that your manuscript meets PLOS ONE’s style requirements, including those for file naming.</w:t>
      </w:r>
    </w:p>
    <w:p w14:paraId="10A891E7" w14:textId="70AE8751" w:rsidR="005A5283" w:rsidRPr="00E86430" w:rsidRDefault="005A5283" w:rsidP="005A5283">
      <w:pPr>
        <w:spacing w:after="160" w:line="360" w:lineRule="auto"/>
        <w:rPr>
          <w:rFonts w:ascii="Book Antiqua" w:eastAsia="Times New Roman" w:hAnsi="Book Antiqua"/>
          <w:sz w:val="24"/>
          <w:szCs w:val="24"/>
        </w:rPr>
      </w:pPr>
      <w:r w:rsidRPr="00E86430">
        <w:rPr>
          <w:rFonts w:ascii="Book Antiqua" w:eastAsia="Times New Roman" w:hAnsi="Book Antiqua"/>
          <w:b/>
          <w:bCs/>
          <w:sz w:val="24"/>
          <w:szCs w:val="24"/>
        </w:rPr>
        <w:t>Response</w:t>
      </w:r>
      <w:r w:rsidRPr="00E86430">
        <w:rPr>
          <w:rFonts w:ascii="Book Antiqua" w:eastAsia="Times New Roman" w:hAnsi="Book Antiqua"/>
          <w:sz w:val="24"/>
          <w:szCs w:val="24"/>
        </w:rPr>
        <w:t xml:space="preserve">: </w:t>
      </w:r>
      <w:r w:rsidRPr="00E86430">
        <w:rPr>
          <w:rFonts w:ascii="Book Antiqua" w:eastAsia="Times New Roman" w:hAnsi="Book Antiqua"/>
          <w:sz w:val="24"/>
          <w:szCs w:val="24"/>
        </w:rPr>
        <w:t>We have carefully reviewed the PLOS ONE style templates and formatting guidelines. The revised manuscript fully complies with all requirements. The specific adjustments made are as follows:</w:t>
      </w:r>
    </w:p>
    <w:p w14:paraId="2DF20690" w14:textId="77777777" w:rsidR="005A5283" w:rsidRPr="00E86430" w:rsidRDefault="005A5283" w:rsidP="005A5283">
      <w:pPr>
        <w:pStyle w:val="a4"/>
        <w:numPr>
          <w:ilvl w:val="0"/>
          <w:numId w:val="2"/>
        </w:numPr>
        <w:spacing w:after="160" w:line="360" w:lineRule="auto"/>
        <w:rPr>
          <w:rFonts w:ascii="Book Antiqua" w:eastAsia="Times New Roman" w:hAnsi="Book Antiqua"/>
          <w:sz w:val="24"/>
          <w:szCs w:val="24"/>
        </w:rPr>
      </w:pPr>
      <w:r w:rsidRPr="00E86430">
        <w:rPr>
          <w:rFonts w:ascii="Book Antiqua" w:eastAsia="Times New Roman" w:hAnsi="Book Antiqua"/>
          <w:b/>
          <w:bCs/>
          <w:sz w:val="24"/>
          <w:szCs w:val="24"/>
        </w:rPr>
        <w:t>LaTeX template</w:t>
      </w:r>
      <w:r w:rsidRPr="00E86430">
        <w:rPr>
          <w:rFonts w:ascii="Book Antiqua" w:eastAsia="Times New Roman" w:hAnsi="Book Antiqua"/>
          <w:sz w:val="24"/>
          <w:szCs w:val="24"/>
        </w:rPr>
        <w:t>: The manuscript uses the official PLOS ONE LaTeX template (plos2025.bst for bibliography formatting, 10pt,letterpaper document class with specified geometry).</w:t>
      </w:r>
    </w:p>
    <w:p w14:paraId="38F28C44" w14:textId="621673B8" w:rsidR="005A5283" w:rsidRPr="00E86430" w:rsidRDefault="005A5283" w:rsidP="005A5283">
      <w:pPr>
        <w:pStyle w:val="a4"/>
        <w:numPr>
          <w:ilvl w:val="0"/>
          <w:numId w:val="2"/>
        </w:numPr>
        <w:spacing w:after="160" w:line="360" w:lineRule="auto"/>
        <w:rPr>
          <w:rFonts w:ascii="Book Antiqua" w:eastAsia="Times New Roman" w:hAnsi="Book Antiqua"/>
          <w:sz w:val="24"/>
          <w:szCs w:val="24"/>
        </w:rPr>
      </w:pPr>
      <w:r w:rsidRPr="00E86430">
        <w:rPr>
          <w:rFonts w:ascii="Book Antiqua" w:eastAsia="Times New Roman" w:hAnsi="Book Antiqua"/>
          <w:b/>
          <w:bCs/>
          <w:sz w:val="24"/>
          <w:szCs w:val="24"/>
        </w:rPr>
        <w:t>Figure file naming</w:t>
      </w:r>
      <w:r w:rsidRPr="00E86430">
        <w:rPr>
          <w:rFonts w:ascii="Book Antiqua" w:eastAsia="Times New Roman" w:hAnsi="Book Antiqua"/>
          <w:sz w:val="24"/>
          <w:szCs w:val="24"/>
        </w:rPr>
        <w:t>: All figure files have been renamed according to PLOS ONE conventions (i.e., Fig1.tif, Fig2.tif, ..., Fig11.tif).</w:t>
      </w:r>
    </w:p>
    <w:p w14:paraId="4BFBF142" w14:textId="766FE0EA" w:rsidR="005A5283" w:rsidRPr="00E86430" w:rsidRDefault="005A5283" w:rsidP="005A5283">
      <w:pPr>
        <w:pStyle w:val="a4"/>
        <w:numPr>
          <w:ilvl w:val="0"/>
          <w:numId w:val="2"/>
        </w:numPr>
        <w:spacing w:after="160" w:line="360" w:lineRule="auto"/>
        <w:rPr>
          <w:rFonts w:ascii="Book Antiqua" w:eastAsia="Times New Roman" w:hAnsi="Book Antiqua"/>
          <w:sz w:val="24"/>
          <w:szCs w:val="24"/>
        </w:rPr>
      </w:pPr>
      <w:r w:rsidRPr="00E86430">
        <w:rPr>
          <w:rFonts w:ascii="Book Antiqua" w:eastAsia="Times New Roman" w:hAnsi="Book Antiqua"/>
          <w:b/>
          <w:bCs/>
          <w:sz w:val="24"/>
          <w:szCs w:val="24"/>
        </w:rPr>
        <w:t>Multi-panel figures</w:t>
      </w:r>
      <w:r w:rsidRPr="00E86430">
        <w:rPr>
          <w:rFonts w:ascii="Book Antiqua" w:eastAsia="Times New Roman" w:hAnsi="Book Antiqua"/>
          <w:sz w:val="24"/>
          <w:szCs w:val="24"/>
        </w:rPr>
        <w:t>: Figures containing multiple panels (Figs 1, 6, 7, 8, and 9) have been combined into single image files with panel labels (e.g., (a), (b), ...) embedded at the top-left corner of each sub-panel.</w:t>
      </w:r>
    </w:p>
    <w:p w14:paraId="1B6341AD" w14:textId="312A5FFD" w:rsidR="005A5283" w:rsidRPr="00E86430" w:rsidRDefault="005A5283" w:rsidP="005A5283">
      <w:pPr>
        <w:pStyle w:val="a4"/>
        <w:numPr>
          <w:ilvl w:val="0"/>
          <w:numId w:val="2"/>
        </w:numPr>
        <w:spacing w:after="160" w:line="360" w:lineRule="auto"/>
        <w:rPr>
          <w:rFonts w:ascii="Book Antiqua" w:eastAsia="Times New Roman" w:hAnsi="Book Antiqua"/>
          <w:sz w:val="24"/>
          <w:szCs w:val="24"/>
        </w:rPr>
      </w:pPr>
      <w:r w:rsidRPr="00E86430">
        <w:rPr>
          <w:rFonts w:ascii="Book Antiqua" w:eastAsia="Times New Roman" w:hAnsi="Book Antiqua"/>
          <w:b/>
          <w:bCs/>
          <w:sz w:val="24"/>
          <w:szCs w:val="24"/>
        </w:rPr>
        <w:t>F</w:t>
      </w:r>
      <w:r w:rsidRPr="00E86430">
        <w:rPr>
          <w:rFonts w:ascii="Book Antiqua" w:eastAsia="Times New Roman" w:hAnsi="Book Antiqua"/>
          <w:b/>
          <w:bCs/>
          <w:sz w:val="24"/>
          <w:szCs w:val="24"/>
        </w:rPr>
        <w:t>igure file format and resolution</w:t>
      </w:r>
      <w:r w:rsidRPr="00E86430">
        <w:rPr>
          <w:rFonts w:ascii="Book Antiqua" w:eastAsia="Times New Roman" w:hAnsi="Book Antiqua"/>
          <w:sz w:val="24"/>
          <w:szCs w:val="24"/>
        </w:rPr>
        <w:t>: All figure files have been converted to TIFF format at 300 DPI.</w:t>
      </w:r>
    </w:p>
    <w:p w14:paraId="49DB5560" w14:textId="12002301" w:rsidR="005A5283" w:rsidRPr="00E86430" w:rsidRDefault="005A5283" w:rsidP="005A5283">
      <w:pPr>
        <w:pStyle w:val="a4"/>
        <w:numPr>
          <w:ilvl w:val="0"/>
          <w:numId w:val="2"/>
        </w:numPr>
        <w:spacing w:after="160" w:line="360" w:lineRule="auto"/>
        <w:rPr>
          <w:rFonts w:ascii="Book Antiqua" w:eastAsia="Times New Roman" w:hAnsi="Book Antiqua"/>
          <w:sz w:val="24"/>
          <w:szCs w:val="24"/>
        </w:rPr>
      </w:pPr>
      <w:r w:rsidRPr="00E86430">
        <w:rPr>
          <w:rFonts w:ascii="Book Antiqua" w:eastAsia="Times New Roman" w:hAnsi="Book Antiqua"/>
          <w:b/>
          <w:bCs/>
          <w:sz w:val="24"/>
          <w:szCs w:val="24"/>
        </w:rPr>
        <w:t>Figure typography</w:t>
      </w:r>
      <w:r w:rsidRPr="00E86430">
        <w:rPr>
          <w:rFonts w:ascii="Book Antiqua" w:eastAsia="Times New Roman" w:hAnsi="Book Antiqua"/>
          <w:sz w:val="24"/>
          <w:szCs w:val="24"/>
        </w:rPr>
        <w:t>: All text within figures uses the Arial font at 8--10 pt, in compliance with PLOS ONE figure specifications.</w:t>
      </w:r>
    </w:p>
    <w:p w14:paraId="7E67214F" w14:textId="66B3B75A" w:rsidR="005A5283" w:rsidRPr="00E86430" w:rsidRDefault="005A5283" w:rsidP="005A5283">
      <w:pPr>
        <w:pStyle w:val="a4"/>
        <w:numPr>
          <w:ilvl w:val="0"/>
          <w:numId w:val="2"/>
        </w:numPr>
        <w:spacing w:after="160" w:line="360" w:lineRule="auto"/>
        <w:rPr>
          <w:rFonts w:ascii="Book Antiqua" w:eastAsia="Times New Roman" w:hAnsi="Book Antiqua"/>
          <w:sz w:val="24"/>
          <w:szCs w:val="24"/>
        </w:rPr>
      </w:pPr>
      <w:r w:rsidRPr="00E86430">
        <w:rPr>
          <w:rFonts w:ascii="Book Antiqua" w:eastAsia="Times New Roman" w:hAnsi="Book Antiqua"/>
          <w:b/>
          <w:bCs/>
          <w:sz w:val="24"/>
          <w:szCs w:val="24"/>
        </w:rPr>
        <w:t>Title, author, and affiliation formatting</w:t>
      </w:r>
      <w:r w:rsidRPr="00E86430">
        <w:rPr>
          <w:rFonts w:ascii="Book Antiqua" w:eastAsia="Times New Roman" w:hAnsi="Book Antiqua"/>
          <w:sz w:val="24"/>
          <w:szCs w:val="24"/>
        </w:rPr>
        <w:t>: Verified to follow the specified style (sentence case title, superscript affiliation numbers, corresponding author marked with asterisk).</w:t>
      </w:r>
    </w:p>
    <w:p w14:paraId="76DF3816" w14:textId="77777777" w:rsidR="004719BC" w:rsidRPr="00E86430" w:rsidRDefault="005A5283" w:rsidP="004719BC">
      <w:pPr>
        <w:pStyle w:val="a4"/>
        <w:numPr>
          <w:ilvl w:val="0"/>
          <w:numId w:val="2"/>
        </w:numPr>
        <w:pBdr>
          <w:bottom w:val="single" w:sz="1" w:space="0" w:color="CCCCCC"/>
        </w:pBdr>
        <w:spacing w:before="120" w:after="120" w:line="360" w:lineRule="auto"/>
        <w:rPr>
          <w:rFonts w:ascii="Book Antiqua" w:eastAsia="Times New Roman" w:hAnsi="Book Antiqua"/>
          <w:b/>
          <w:bCs/>
          <w:sz w:val="24"/>
          <w:szCs w:val="24"/>
        </w:rPr>
      </w:pPr>
      <w:r w:rsidRPr="00E86430">
        <w:rPr>
          <w:rFonts w:ascii="Book Antiqua" w:eastAsia="Times New Roman" w:hAnsi="Book Antiqua"/>
          <w:b/>
          <w:bCs/>
          <w:sz w:val="24"/>
          <w:szCs w:val="24"/>
        </w:rPr>
        <w:t>In-text citations</w:t>
      </w:r>
      <w:r w:rsidRPr="00E86430">
        <w:rPr>
          <w:rFonts w:ascii="Book Antiqua" w:eastAsia="Times New Roman" w:hAnsi="Book Antiqua"/>
          <w:sz w:val="24"/>
          <w:szCs w:val="24"/>
        </w:rPr>
        <w:t>: Figures are cited as "Fig" (not "Figure"), and equations as "Eq" (not "Equation"), consistent with PLOS ONE conventions.</w:t>
      </w:r>
    </w:p>
    <w:p w14:paraId="4FA20318" w14:textId="3EC7178C" w:rsidR="00267654" w:rsidRPr="00E86430" w:rsidRDefault="00267654" w:rsidP="004719BC">
      <w:pPr>
        <w:pStyle w:val="a4"/>
        <w:pBdr>
          <w:bottom w:val="single" w:sz="1" w:space="0" w:color="CCCCCC"/>
        </w:pBdr>
        <w:spacing w:before="120" w:after="120" w:line="360" w:lineRule="auto"/>
        <w:ind w:left="480"/>
        <w:rPr>
          <w:rFonts w:ascii="Book Antiqua" w:eastAsia="Times New Roman" w:hAnsi="Book Antiqua"/>
          <w:b/>
          <w:bCs/>
          <w:sz w:val="24"/>
          <w:szCs w:val="24"/>
        </w:rPr>
      </w:pPr>
      <w:r w:rsidRPr="00E86430">
        <w:rPr>
          <w:rFonts w:ascii="Book Antiqua" w:hAnsi="Book Antiqua"/>
          <w:sz w:val="24"/>
          <w:szCs w:val="24"/>
        </w:rPr>
        <w:br w:type="page"/>
      </w:r>
    </w:p>
    <w:p w14:paraId="673DEF82" w14:textId="085568CC" w:rsidR="005150AD" w:rsidRPr="00E86430" w:rsidRDefault="00000000">
      <w:pPr>
        <w:pStyle w:val="2"/>
        <w:rPr>
          <w:rFonts w:ascii="Book Antiqua" w:hAnsi="Book Antiqua"/>
        </w:rPr>
      </w:pPr>
      <w:r w:rsidRPr="00E86430">
        <w:rPr>
          <w:rFonts w:ascii="Book Antiqua" w:hAnsi="Book Antiqua"/>
        </w:rPr>
        <w:lastRenderedPageBreak/>
        <w:t>JR-2. Code Sharing</w:t>
      </w:r>
    </w:p>
    <w:p w14:paraId="4E1A3926" w14:textId="77777777" w:rsidR="005150AD" w:rsidRPr="00E86430" w:rsidRDefault="00000000">
      <w:pPr>
        <w:pBdr>
          <w:left w:val="single" w:sz="3" w:space="8" w:color="808080"/>
        </w:pBdr>
        <w:spacing w:after="160" w:line="360" w:lineRule="auto"/>
        <w:ind w:left="480"/>
        <w:rPr>
          <w:rFonts w:ascii="Book Antiqua" w:hAnsi="Book Antiqua"/>
          <w:sz w:val="24"/>
          <w:szCs w:val="24"/>
        </w:rPr>
      </w:pPr>
      <w:r w:rsidRPr="00E86430">
        <w:rPr>
          <w:rFonts w:ascii="Book Antiqua" w:eastAsia="Times New Roman" w:hAnsi="Book Antiqua"/>
          <w:i/>
          <w:iCs/>
          <w:color w:val="404040"/>
          <w:sz w:val="24"/>
          <w:szCs w:val="24"/>
        </w:rPr>
        <w:t>Please note that PLOS ONE has specific guidelines on code sharing for submissions in which author-generated code underpins the findings in the manuscript. We expect all author-generated code to be made available without restrictions upon publication of the work.</w:t>
      </w:r>
    </w:p>
    <w:p w14:paraId="09CCD6AC" w14:textId="77777777" w:rsidR="004719BC" w:rsidRPr="00E86430" w:rsidRDefault="004719BC" w:rsidP="004719BC">
      <w:pPr>
        <w:pStyle w:val="2"/>
        <w:rPr>
          <w:rFonts w:ascii="Book Antiqua" w:hAnsi="Book Antiqua"/>
          <w:b w:val="0"/>
          <w:bCs w:val="0"/>
        </w:rPr>
      </w:pPr>
      <w:r w:rsidRPr="00E86430">
        <w:rPr>
          <w:rFonts w:ascii="Book Antiqua" w:hAnsi="Book Antiqua"/>
        </w:rPr>
        <w:t>Response</w:t>
      </w:r>
      <w:r w:rsidRPr="00E86430">
        <w:rPr>
          <w:rFonts w:ascii="Book Antiqua" w:hAnsi="Book Antiqua"/>
          <w:b w:val="0"/>
          <w:bCs w:val="0"/>
        </w:rPr>
        <w:t>: We have made all author-generated code publicly available without restrictions, in full compliance with PLOS ONE's code sharing guidelines. The complete source code is hosted in a public GitHub repository at: https://github.com/canslab1/BCAT, released under the MIT License, which permits unrestricted use, modification, and redistribution.</w:t>
      </w:r>
    </w:p>
    <w:p w14:paraId="125447C6" w14:textId="77777777" w:rsidR="004719BC" w:rsidRPr="00E86430" w:rsidRDefault="004719BC" w:rsidP="004719BC">
      <w:pPr>
        <w:pStyle w:val="2"/>
        <w:rPr>
          <w:rFonts w:ascii="Book Antiqua" w:hAnsi="Book Antiqua"/>
          <w:b w:val="0"/>
          <w:bCs w:val="0"/>
        </w:rPr>
      </w:pPr>
      <w:r w:rsidRPr="00E86430">
        <w:rPr>
          <w:rFonts w:ascii="Book Antiqua" w:hAnsi="Book Antiqua"/>
          <w:b w:val="0"/>
          <w:bCs w:val="0"/>
        </w:rPr>
        <w:t>The repository includes the following materials to ensure reproducibility and reuse:</w:t>
      </w:r>
    </w:p>
    <w:p w14:paraId="46522EC0" w14:textId="4C471337" w:rsidR="004719BC" w:rsidRPr="00E86430" w:rsidRDefault="004719BC" w:rsidP="004719BC">
      <w:pPr>
        <w:pStyle w:val="2"/>
        <w:rPr>
          <w:rFonts w:ascii="Book Antiqua" w:hAnsi="Book Antiqua"/>
          <w:b w:val="0"/>
          <w:bCs w:val="0"/>
        </w:rPr>
      </w:pPr>
      <w:r w:rsidRPr="00E86430">
        <w:rPr>
          <w:rFonts w:ascii="Book Antiqua" w:hAnsi="Book Antiqua"/>
        </w:rPr>
        <w:t>NetLogo simulation model</w:t>
      </w:r>
      <w:r w:rsidRPr="00E86430">
        <w:rPr>
          <w:rFonts w:ascii="Book Antiqua" w:hAnsi="Book Antiqua"/>
          <w:b w:val="0"/>
          <w:bCs w:val="0"/>
        </w:rPr>
        <w:t>: the original implementation used to generate all results reported in the manuscript, compatible with NetLogo 4.0.5 and later versions.</w:t>
      </w:r>
    </w:p>
    <w:p w14:paraId="59D861F3" w14:textId="5DB901AA" w:rsidR="004719BC" w:rsidRPr="00E86430" w:rsidRDefault="004719BC" w:rsidP="004719BC">
      <w:pPr>
        <w:pStyle w:val="2"/>
        <w:rPr>
          <w:rFonts w:ascii="Book Antiqua" w:hAnsi="Book Antiqua"/>
          <w:b w:val="0"/>
          <w:bCs w:val="0"/>
        </w:rPr>
      </w:pPr>
      <w:r w:rsidRPr="00E86430">
        <w:rPr>
          <w:rFonts w:ascii="Book Antiqua" w:hAnsi="Book Antiqua"/>
        </w:rPr>
        <w:t>Python 3 re-implementation</w:t>
      </w:r>
      <w:r w:rsidRPr="00E86430">
        <w:rPr>
          <w:rFonts w:ascii="Book Antiqua" w:hAnsi="Book Antiqua"/>
          <w:b w:val="0"/>
          <w:bCs w:val="0"/>
        </w:rPr>
        <w:t>: a faithful reimplementation with an interactive GUI (</w:t>
      </w:r>
      <w:proofErr w:type="spellStart"/>
      <w:r w:rsidRPr="00E86430">
        <w:rPr>
          <w:rFonts w:ascii="Book Antiqua" w:hAnsi="Book Antiqua"/>
          <w:b w:val="0"/>
          <w:bCs w:val="0"/>
        </w:rPr>
        <w:t>Tkinter</w:t>
      </w:r>
      <w:proofErr w:type="spellEnd"/>
      <w:r w:rsidRPr="00E86430">
        <w:rPr>
          <w:rFonts w:ascii="Book Antiqua" w:hAnsi="Book Antiqua"/>
          <w:b w:val="0"/>
          <w:bCs w:val="0"/>
        </w:rPr>
        <w:t xml:space="preserve"> + matplotlib) for real-time visualization of attitude trajectories, social networks, and adoption dynamics.</w:t>
      </w:r>
    </w:p>
    <w:p w14:paraId="5D329E30" w14:textId="1D81CB0D" w:rsidR="004719BC" w:rsidRPr="00E86430" w:rsidRDefault="004719BC" w:rsidP="004719BC">
      <w:pPr>
        <w:pStyle w:val="2"/>
        <w:rPr>
          <w:rFonts w:ascii="Book Antiqua" w:hAnsi="Book Antiqua"/>
          <w:b w:val="0"/>
          <w:bCs w:val="0"/>
        </w:rPr>
      </w:pPr>
      <w:r w:rsidRPr="00E86430">
        <w:rPr>
          <w:rFonts w:ascii="Book Antiqua" w:hAnsi="Book Antiqua"/>
        </w:rPr>
        <w:t>Pre-configured parameter files</w:t>
      </w:r>
      <w:r w:rsidRPr="00E86430">
        <w:rPr>
          <w:rFonts w:ascii="Book Antiqua" w:hAnsi="Book Antiqua"/>
          <w:b w:val="0"/>
          <w:bCs w:val="0"/>
        </w:rPr>
        <w:t>: JSON configuration files for reproducing the specific simulation experiments corresponding to Figs 4, 5, 10, and 11, as well as the 1,000-run sensitivity analysis.</w:t>
      </w:r>
    </w:p>
    <w:p w14:paraId="79EB7B63" w14:textId="1757619B" w:rsidR="004719BC" w:rsidRPr="00E86430" w:rsidRDefault="004719BC" w:rsidP="004719BC">
      <w:pPr>
        <w:pStyle w:val="2"/>
        <w:rPr>
          <w:rFonts w:ascii="Book Antiqua" w:hAnsi="Book Antiqua"/>
          <w:b w:val="0"/>
          <w:bCs w:val="0"/>
        </w:rPr>
      </w:pPr>
      <w:r w:rsidRPr="00E86430">
        <w:rPr>
          <w:rFonts w:ascii="Book Antiqua" w:hAnsi="Book Antiqua"/>
        </w:rPr>
        <w:t>Comprehensive documentation</w:t>
      </w:r>
      <w:r w:rsidRPr="00E86430">
        <w:rPr>
          <w:rFonts w:ascii="Book Antiqua" w:hAnsi="Book Antiqua"/>
          <w:b w:val="0"/>
          <w:bCs w:val="0"/>
        </w:rPr>
        <w:t>: detailed instructions covering software requirements, installation, parameter configurations, step-by-step reproduction procedures, and model algorithm descriptions.</w:t>
      </w:r>
    </w:p>
    <w:p w14:paraId="59E99101" w14:textId="0E482D69" w:rsidR="004719BC" w:rsidRPr="00E86430" w:rsidRDefault="004719BC" w:rsidP="004719BC">
      <w:pPr>
        <w:pStyle w:val="2"/>
        <w:rPr>
          <w:rFonts w:ascii="Book Antiqua" w:hAnsi="Book Antiqua"/>
          <w:b w:val="0"/>
          <w:bCs w:val="0"/>
        </w:rPr>
      </w:pPr>
      <w:r w:rsidRPr="00E86430">
        <w:rPr>
          <w:rFonts w:ascii="Book Antiqua" w:hAnsi="Book Antiqua"/>
        </w:rPr>
        <w:t>Citation metadata</w:t>
      </w:r>
      <w:r w:rsidRPr="00E86430">
        <w:rPr>
          <w:rFonts w:ascii="Book Antiqua" w:hAnsi="Book Antiqua"/>
          <w:b w:val="0"/>
          <w:bCs w:val="0"/>
        </w:rPr>
        <w:t>: machine-readable citation information following the Citation File Format standard.</w:t>
      </w:r>
    </w:p>
    <w:p w14:paraId="706CBFEF" w14:textId="77777777" w:rsidR="004719BC" w:rsidRPr="00E86430" w:rsidRDefault="004719BC" w:rsidP="004719BC">
      <w:pPr>
        <w:pStyle w:val="2"/>
        <w:rPr>
          <w:rFonts w:ascii="Book Antiqua" w:hAnsi="Book Antiqua"/>
          <w:b w:val="0"/>
          <w:bCs w:val="0"/>
        </w:rPr>
      </w:pPr>
      <w:r w:rsidRPr="00E86430">
        <w:rPr>
          <w:rFonts w:ascii="Book Antiqua" w:hAnsi="Book Antiqua"/>
          <w:b w:val="0"/>
          <w:bCs w:val="0"/>
        </w:rPr>
        <w:t xml:space="preserve">To ensure long-term accessibility, we have archived the repository on </w:t>
      </w:r>
      <w:proofErr w:type="spellStart"/>
      <w:r w:rsidRPr="00E86430">
        <w:rPr>
          <w:rFonts w:ascii="Book Antiqua" w:hAnsi="Book Antiqua"/>
          <w:b w:val="0"/>
          <w:bCs w:val="0"/>
        </w:rPr>
        <w:t>Zenodo</w:t>
      </w:r>
      <w:proofErr w:type="spellEnd"/>
      <w:r w:rsidRPr="00E86430">
        <w:rPr>
          <w:rFonts w:ascii="Book Antiqua" w:hAnsi="Book Antiqua"/>
          <w:b w:val="0"/>
          <w:bCs w:val="0"/>
        </w:rPr>
        <w:t xml:space="preserve"> with a permanent DOI: https://doi.org/10.5281/zenodo.19081523. The Data Availability Statement in the Editorial Manager submission form has been updated to reference both the GitHub repository URL and the </w:t>
      </w:r>
      <w:proofErr w:type="spellStart"/>
      <w:r w:rsidRPr="00E86430">
        <w:rPr>
          <w:rFonts w:ascii="Book Antiqua" w:hAnsi="Book Antiqua"/>
          <w:b w:val="0"/>
          <w:bCs w:val="0"/>
        </w:rPr>
        <w:t>Zenodo</w:t>
      </w:r>
      <w:proofErr w:type="spellEnd"/>
      <w:r w:rsidRPr="00E86430">
        <w:rPr>
          <w:rFonts w:ascii="Book Antiqua" w:hAnsi="Book Antiqua"/>
          <w:b w:val="0"/>
          <w:bCs w:val="0"/>
        </w:rPr>
        <w:t xml:space="preserve"> DOI.</w:t>
      </w:r>
    </w:p>
    <w:p w14:paraId="0FF5023A" w14:textId="77777777" w:rsidR="004719BC" w:rsidRPr="00E86430" w:rsidRDefault="004719BC">
      <w:pPr>
        <w:widowControl/>
        <w:rPr>
          <w:rFonts w:ascii="Book Antiqua" w:eastAsia="Times New Roman" w:hAnsi="Book Antiqua"/>
          <w:b/>
          <w:bCs/>
          <w:sz w:val="24"/>
          <w:szCs w:val="24"/>
        </w:rPr>
      </w:pPr>
      <w:r w:rsidRPr="00E86430">
        <w:rPr>
          <w:rFonts w:ascii="Book Antiqua" w:hAnsi="Book Antiqua"/>
          <w:sz w:val="24"/>
          <w:szCs w:val="24"/>
        </w:rPr>
        <w:br w:type="page"/>
      </w:r>
    </w:p>
    <w:p w14:paraId="73ADABB4" w14:textId="17DCE2C9" w:rsidR="005150AD" w:rsidRPr="005A5283" w:rsidRDefault="00000000">
      <w:pPr>
        <w:pStyle w:val="2"/>
        <w:rPr>
          <w:rFonts w:ascii="Book Antiqua" w:hAnsi="Book Antiqua"/>
        </w:rPr>
      </w:pPr>
      <w:r w:rsidRPr="005A5283">
        <w:rPr>
          <w:rFonts w:ascii="Book Antiqua" w:hAnsi="Book Antiqua"/>
        </w:rPr>
        <w:lastRenderedPageBreak/>
        <w:t>JR-3. PLOS LaTeX Template</w:t>
      </w:r>
    </w:p>
    <w:p w14:paraId="68A11F69"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Please update your submission to use the PLOS LaTeX template.</w:t>
      </w:r>
    </w:p>
    <w:p w14:paraId="083EE547"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The manuscript has been fully converted from Microsoft Word to the official PLOS ONE LaTeX template. All equations, algorithm pseudocode, tables, figure references, and cross-references have been verified for correctness after conversion. Algorithm pseudocode has been typeset using the algorithm2e package for improved readability and professional appearance.</w:t>
      </w:r>
    </w:p>
    <w:p w14:paraId="6FEE7802"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w:t>
      </w:r>
      <w:r w:rsidRPr="005A5283">
        <w:rPr>
          <w:rFonts w:ascii="Book Antiqua" w:eastAsia="Times New Roman" w:hAnsi="Book Antiqua"/>
        </w:rPr>
        <w:t>The entire manuscript has been re-typeset in LaTeX using the PLOS ONE template. All mathematical notation, algorithm pseudocode, and bibliographic entries have been reformatted accordingly.</w:t>
      </w:r>
    </w:p>
    <w:p w14:paraId="2A7ECCCE" w14:textId="77777777" w:rsidR="005150AD" w:rsidRPr="005A5283" w:rsidRDefault="005150AD">
      <w:pPr>
        <w:pBdr>
          <w:bottom w:val="single" w:sz="1" w:space="0" w:color="CCCCCC"/>
        </w:pBdr>
        <w:spacing w:before="120" w:after="120"/>
        <w:rPr>
          <w:rFonts w:ascii="Book Antiqua" w:hAnsi="Book Antiqua"/>
        </w:rPr>
      </w:pPr>
    </w:p>
    <w:p w14:paraId="5D83B9D9" w14:textId="77777777" w:rsidR="005150AD" w:rsidRPr="005A5283" w:rsidRDefault="00000000">
      <w:pPr>
        <w:pStyle w:val="2"/>
        <w:rPr>
          <w:rFonts w:ascii="Book Antiqua" w:hAnsi="Book Antiqua"/>
        </w:rPr>
      </w:pPr>
      <w:r w:rsidRPr="005A5283">
        <w:rPr>
          <w:rFonts w:ascii="Book Antiqua" w:hAnsi="Book Antiqua"/>
        </w:rPr>
        <w:t>JR-4. Data Availability Statement</w:t>
      </w:r>
    </w:p>
    <w:p w14:paraId="217DB0D2"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Please confirm at this time whether or not your submission contains all raw data required to replicate the results of your study. Authors must share the “minimal data set” for their submission.</w:t>
      </w:r>
    </w:p>
    <w:p w14:paraId="6DF52CD9"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We confirm that the revised submission includes all raw data necessary to replicate the study’s findings. Specifically, we have prepared the following as Supporting Information files: (S1) complete simulation output data for all 1,000 runs across all four network topologies, including per-run FRI and GSI trajectories; (S2) the raw data underlying Table 2, including feature importance scores with standard errors and all correlation/regression coefficients; (S3) the data underlying Figures 7–9, including all values used to construct heatmaps and bar charts; and (S4) the finite-size scaling analysis data for N = 1,000 and N = 2,500. These data files, together with the analysis scripts deposited in the public code repository (see JR-2), enable full replication of all reported results.</w:t>
      </w:r>
    </w:p>
    <w:p w14:paraId="71C66263"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w:t>
      </w:r>
      <w:r w:rsidRPr="005A5283">
        <w:rPr>
          <w:rFonts w:ascii="Book Antiqua" w:eastAsia="Times New Roman" w:hAnsi="Book Antiqua"/>
        </w:rPr>
        <w:t>The Data Availability Statement has been revised as described in JR-2. Supporting Information files S1–S4 have been added to the submission.</w:t>
      </w:r>
    </w:p>
    <w:p w14:paraId="62B95CFC" w14:textId="77777777" w:rsidR="005150AD" w:rsidRPr="005A5283" w:rsidRDefault="005150AD">
      <w:pPr>
        <w:pBdr>
          <w:bottom w:val="single" w:sz="1" w:space="0" w:color="CCCCCC"/>
        </w:pBdr>
        <w:spacing w:before="120" w:after="120"/>
        <w:rPr>
          <w:rFonts w:ascii="Book Antiqua" w:hAnsi="Book Antiqua"/>
        </w:rPr>
      </w:pPr>
    </w:p>
    <w:p w14:paraId="7C311479" w14:textId="77777777" w:rsidR="005150AD" w:rsidRPr="005A5283" w:rsidRDefault="00000000">
      <w:pPr>
        <w:pStyle w:val="2"/>
        <w:rPr>
          <w:rFonts w:ascii="Book Antiqua" w:hAnsi="Book Antiqua"/>
        </w:rPr>
      </w:pPr>
      <w:r w:rsidRPr="005A5283">
        <w:rPr>
          <w:rFonts w:ascii="Book Antiqua" w:hAnsi="Book Antiqua"/>
        </w:rPr>
        <w:t>JR-5. Copyrighted Images (Figures 2, 4, 5, 6, 10, 11)</w:t>
      </w:r>
    </w:p>
    <w:p w14:paraId="01EB5980"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We note that Figures 2, 4, 5, 6, 10 and 11 in your submission contain copyrighted images. We require you to either (1) present written permission from the copyright holder to publish these figures specifically under the CC BY 4.0 license, or (2) remove the figures from your submission.</w:t>
      </w:r>
    </w:p>
    <w:p w14:paraId="3CD53A93"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lastRenderedPageBreak/>
        <w:t>We appreciate the editorial office’s diligence in flagging this issue. The figures in question were originally NetLogo graphical user interface screenshots. We have chosen option (2) and replaced all six figures with newly created, author-generated visualizations that present the simulation data directly. Specifically:</w:t>
      </w:r>
    </w:p>
    <w:p w14:paraId="5B34E049"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Figure 2 (previously a NetLogo GUI screenshot) has been replaced with an author-drawn schematic diagram of the BCAT model interface layout, created using Python/matplotlib, showing the parameter configuration areas and output display regions without any copyrighted GUI elements.</w:t>
      </w:r>
    </w:p>
    <w:p w14:paraId="168D3AEC"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Figures 4, 5, and 6 (previously NetLogo simulation screenshots) have been replaced with multi-panel figures generated using Python/matplotlib that present the attitude trajectory, adoption dynamics, and attitude distribution data extracted from the simulation output files. These new figures convey the same information as the original screenshots but in a format that is entirely author-generated and free of copyrighted content.</w:t>
      </w:r>
    </w:p>
    <w:p w14:paraId="431A2083"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Figures 10 and 11 (previously NetLogo screenshots of downward compatibility tests) have been similarly replaced with author-generated plots of the corresponding simulation data.</w:t>
      </w:r>
    </w:p>
    <w:p w14:paraId="5C5E24F1"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w:t>
      </w:r>
      <w:r w:rsidRPr="005A5283">
        <w:rPr>
          <w:rFonts w:ascii="Book Antiqua" w:eastAsia="Times New Roman" w:hAnsi="Book Antiqua"/>
        </w:rPr>
        <w:t>Figures 2, 4, 5, 6, 10, and 11 have been entirely replaced with new, author-generated figures. All figure captions have been updated to reflect the new content. No copyrighted material remains in the manuscript.</w:t>
      </w:r>
    </w:p>
    <w:p w14:paraId="22BC2C36" w14:textId="77777777" w:rsidR="005150AD" w:rsidRPr="005A5283" w:rsidRDefault="005150AD">
      <w:pPr>
        <w:pBdr>
          <w:bottom w:val="single" w:sz="1" w:space="0" w:color="CCCCCC"/>
        </w:pBdr>
        <w:spacing w:before="120" w:after="120"/>
        <w:rPr>
          <w:rFonts w:ascii="Book Antiqua" w:hAnsi="Book Antiqua"/>
        </w:rPr>
      </w:pPr>
    </w:p>
    <w:p w14:paraId="27F8D45B" w14:textId="77777777" w:rsidR="005150AD" w:rsidRPr="005A5283" w:rsidRDefault="00000000">
      <w:pPr>
        <w:pStyle w:val="2"/>
        <w:rPr>
          <w:rFonts w:ascii="Book Antiqua" w:hAnsi="Book Antiqua"/>
        </w:rPr>
      </w:pPr>
      <w:r w:rsidRPr="005A5283">
        <w:rPr>
          <w:rFonts w:ascii="Book Antiqua" w:hAnsi="Book Antiqua"/>
        </w:rPr>
        <w:t>JR-6. Reviewer-Recommended Citations</w:t>
      </w:r>
    </w:p>
    <w:p w14:paraId="0FF77E81"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If the reviewer comments include a recommendation to cite specific previously published works, please review and evaluate these publications to determine whether they are relevant and should be cited.</w:t>
      </w:r>
    </w:p>
    <w:p w14:paraId="24BCCD5E"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 xml:space="preserve">We have carefully evaluated all publications referenced by the reviewers. Reviewer #1 cited Banerjee (1992), Golub and Jackson (2010, 2012), Cheng et al. (2026), Katz and Shapiro (1985), and Morris and Shin (2003). Reviewer #2 cited Berenbrink et al. (2024). We found all of these works to be directly relevant to strengthening our theoretical framework, particularly for the newly added sections on alternative theories (Section 5.2) and the clarified discussion of opinion dynamics model variants (Section 2). All six works have been incorporated into the revised </w:t>
      </w:r>
      <w:r w:rsidRPr="005A5283">
        <w:rPr>
          <w:rFonts w:ascii="Book Antiqua" w:eastAsia="Times New Roman" w:hAnsi="Book Antiqua"/>
        </w:rPr>
        <w:lastRenderedPageBreak/>
        <w:t>manuscript with appropriate in-text citations and complete reference entries.</w:t>
      </w:r>
    </w:p>
    <w:p w14:paraId="7A1F52F5"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w:t>
      </w:r>
      <w:r w:rsidRPr="005A5283">
        <w:rPr>
          <w:rFonts w:ascii="Book Antiqua" w:eastAsia="Times New Roman" w:hAnsi="Book Antiqua"/>
        </w:rPr>
        <w:t>The following references have been added: Banerjee (1992), Golub &amp; Jackson (2010), Golub &amp; Jackson (2012), Cheng et al. (2026), Katz &amp; Shapiro (1985), Morris &amp; Shin (2003), and Berenbrink et al. (2024). In-text citations appear in Sections 2, 3, and 5.2 of the revised manuscript.</w:t>
      </w:r>
    </w:p>
    <w:p w14:paraId="1EBE699B" w14:textId="77777777" w:rsidR="005150AD" w:rsidRPr="005A5283" w:rsidRDefault="00000000">
      <w:pPr>
        <w:rPr>
          <w:rFonts w:ascii="Book Antiqua" w:hAnsi="Book Antiqua"/>
        </w:rPr>
      </w:pPr>
      <w:r w:rsidRPr="005A5283">
        <w:rPr>
          <w:rFonts w:ascii="Book Antiqua" w:hAnsi="Book Antiqua"/>
        </w:rPr>
        <w:br w:type="page"/>
      </w:r>
    </w:p>
    <w:p w14:paraId="09E628AB" w14:textId="77777777" w:rsidR="005150AD" w:rsidRPr="005A5283" w:rsidRDefault="00000000">
      <w:pPr>
        <w:pStyle w:val="1"/>
        <w:rPr>
          <w:rFonts w:ascii="Book Antiqua" w:hAnsi="Book Antiqua"/>
        </w:rPr>
      </w:pPr>
      <w:r w:rsidRPr="005A5283">
        <w:rPr>
          <w:rFonts w:ascii="Book Antiqua" w:hAnsi="Book Antiqua"/>
        </w:rPr>
        <w:lastRenderedPageBreak/>
        <w:t>Part II: Response to Reviewer #1</w:t>
      </w:r>
    </w:p>
    <w:p w14:paraId="5DB2D4ED"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We thank Reviewer #1 for the exceptionally thoughtful and constructive evaluation. The reviewer’s comments—particularly the identification of two distinct mechanism channels and the call for distinguishing predictions relative to alternative theories—have guided substantial theoretical improvements to the manuscript.</w:t>
      </w:r>
    </w:p>
    <w:p w14:paraId="309F79C4" w14:textId="77777777" w:rsidR="005150AD" w:rsidRPr="005A5283" w:rsidRDefault="00000000">
      <w:pPr>
        <w:pStyle w:val="2"/>
        <w:rPr>
          <w:rFonts w:ascii="Book Antiqua" w:hAnsi="Book Antiqua"/>
        </w:rPr>
      </w:pPr>
      <w:r w:rsidRPr="005A5283">
        <w:rPr>
          <w:rFonts w:ascii="Book Antiqua" w:hAnsi="Book Antiqua"/>
        </w:rPr>
        <w:t>R1-1. What Makes the Two Models Combine Organically?</w:t>
      </w:r>
    </w:p>
    <w:p w14:paraId="710F1CBB"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The paper motivates the BCAT model as a combination of opinion dynamics and adoption thresholds, but the theoretical rationale for why these two components interact in the specific way they do could be articulated more sharply. In particular, the current presentation treats the two components somewhat modularly: agents first update opinions via bounded confidence, then check an adoption threshold. The reader is left to infer the interaction structure from the pseudo-code rather than from a conceptual discussion.</w:t>
      </w:r>
    </w:p>
    <w:p w14:paraId="6BCE2B8A"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It would strengthen the paper to discuss explicitly: (a) what features of bounded confidence opinion dynamics—as opposed to, say, DeGroot-style averaging or voter model dynamics—make it a natural complement to threshold-based adoption, and (b) what structural properties of the combined model are not present in either component alone.</w:t>
      </w:r>
    </w:p>
    <w:p w14:paraId="5F6945D7"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We fully agree that the original manuscript presented the two model components too modularly, leaving the reader to infer their interaction logic from the pseudocode. In the revised manuscript, we have added a new subsection (Section 3.1, “Theoretical Rationale for Model Integration”) that explicitly articulates the conceptual logic underlying the coupling of bounded confidence opinion dynamics with adoption thresholds.</w:t>
      </w:r>
    </w:p>
    <w:p w14:paraId="64A93AEB"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 xml:space="preserve">Regarding point (a), we now discuss why bounded confidence—rather than DeGroot-style averaging or voter model dynamics—is the natural complement to threshold-based adoption. The argument proceeds as follows. DeGroot-style averaging models (Golub &amp; Jackson, 2010, 2012; Cheng et al., 2026) assume that all agents are open to influence from all neighbors, leading to guaranteed convergence toward consensus under mild connectivity conditions. This all-or-nothing convergence property makes the DeGroot framework ill-suited for studying the “best game no one played” phenomenon, precisely because it cannot generate opinion fragmentation—a key mechanism through which positive average sentiment may coexist with insufficient local support for adoption. Voter model dynamics, on the other hand, are discrete </w:t>
      </w:r>
      <w:r w:rsidRPr="005A5283">
        <w:rPr>
          <w:rFonts w:ascii="Book Antiqua" w:eastAsia="Times New Roman" w:hAnsi="Book Antiqua"/>
        </w:rPr>
        <w:lastRenderedPageBreak/>
        <w:t>and memoryless (each agent randomly copies a neighbor’s binary state), which cannot capture the gradual, continuous nature of attitude evolution that characterizes real consumer sentiment formation. Bounded confidence occupies a unique position: by restricting opinion exchange to pairs whose attitudes fall within a tolerance threshold, it naturally generates both consensus (when the confidence bound is large) and fragmentation into multiple clusters (when the bound is small). This dual capacity is precisely what makes bounded confidence a suitable partner for the adoption threshold mechanism, because the fragmentation scenario creates the non-trivial possibility that average attitudes are positive yet local neighborhoods lack sufficient positive-attitude agents to trigger adoption cascades.</w:t>
      </w:r>
    </w:p>
    <w:p w14:paraId="4B464634"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 xml:space="preserve">Regarding point (b), we now identify emergent properties of the combined model that are absent from either component alone. The most important is the </w:t>
      </w:r>
      <w:r w:rsidRPr="005A5283">
        <w:rPr>
          <w:rFonts w:ascii="Book Antiqua" w:eastAsia="Times New Roman" w:hAnsi="Book Antiqua"/>
          <w:b/>
          <w:bCs/>
        </w:rPr>
        <w:t>bidirectional feedback loop between adoption status and opinion exchange</w:t>
      </w:r>
      <w:r w:rsidRPr="005A5283">
        <w:rPr>
          <w:rFonts w:ascii="Book Antiqua" w:eastAsia="Times New Roman" w:hAnsi="Book Antiqua"/>
        </w:rPr>
        <w:t>. In the BCAT model, the opinion exchange rules are conditioned on the adoption statuses of both interacting agents: when one agent has adopted and the other has not, the exchange follows an asymmetric persuasion logic (the adopted agent exerts stronger influence); when both have adopted, attitudes converge toward the more positive pole; when neither has adopted, standard bidirectional convergence applies. This means that the adoption decision—ostensibly a downstream consequence of opinion formation—feeds back into the opinion dynamics process itself, creating a coupled dynamical system whose behavior cannot be predicted from the properties of either component in isolation. For instance, early adoption by a few agents can create localized pockets of reinforced positive attitudes that may (or may not) propagate outward, depending on network structure and threshold distribution.</w:t>
      </w:r>
    </w:p>
    <w:p w14:paraId="620003E4"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(new Section 3.1): </w:t>
      </w:r>
      <w:r w:rsidRPr="005A5283">
        <w:rPr>
          <w:rFonts w:ascii="Book Antiqua" w:eastAsia="Times New Roman" w:hAnsi="Book Antiqua"/>
        </w:rPr>
        <w:t xml:space="preserve">"Theoretical Rationale for Model Integration. The BCAT model integrates bounded confidence opinion dynamics with adoption thresholds not as a modular concatenation of two independent processes, but as a coupled dynamical system in which opinion formation and adoption decisions mutually influence each other. The choice of bounded confidence—rather than alternative opinion dynamics frameworks—is motivated by its unique capacity to generate both consensus and fragmentation, depending on the confidence parameter ε. DeGroot-style averaging models (Golub &amp; Jackson, 2010, 2012; Cheng et al., 2026), which guarantee convergence to consensus under mild connectivity conditions, cannot produce the opinion fragmentation that is central to the ‘best game no one played’ phenomenon. Voter model dynamics, while </w:t>
      </w:r>
      <w:r w:rsidRPr="005A5283">
        <w:rPr>
          <w:rFonts w:ascii="Book Antiqua" w:eastAsia="Times New Roman" w:hAnsi="Book Antiqua"/>
        </w:rPr>
        <w:lastRenderedPageBreak/>
        <w:t>capable of generating heterogeneous outcomes, operate on binary state spaces and cannot capture the continuous, gradual nature of attitude evolution. Bounded confidence uniquely enables a scenario in which average population attitude is favorable, yet opinion clustering partitions the population into subgroups, some of which settle below the positive-attitude threshold required for adoption consideration. [...] Furthermore, the BCAT model introduces a bidirectional feedback loop that is absent from either component model in isolation. Opinion exchange rules are conditioned on the adoption statuses of both interacting agents (Algorithm 3): adopted agents exert asymmetric persuasive influence on non-adopted neighbors, while mutual adoption reinforces positive attitudes. This coupling means that adoption decisions—an outcome of opinion formation—feed back into the opinion dynamics, creating emergent phenomena such as localized adoption-driven attitude reinforcement and cascade-dependent opinion polarization that cannot be predicted from the properties of either sub-model alone."</w:t>
      </w:r>
    </w:p>
    <w:p w14:paraId="35A23B37" w14:textId="77777777" w:rsidR="005150AD" w:rsidRPr="005A5283" w:rsidRDefault="005150AD">
      <w:pPr>
        <w:pBdr>
          <w:bottom w:val="single" w:sz="1" w:space="0" w:color="CCCCCC"/>
        </w:pBdr>
        <w:spacing w:before="120" w:after="120"/>
        <w:rPr>
          <w:rFonts w:ascii="Book Antiqua" w:hAnsi="Book Antiqua"/>
        </w:rPr>
      </w:pPr>
    </w:p>
    <w:p w14:paraId="2BC66A59" w14:textId="77777777" w:rsidR="005150AD" w:rsidRPr="005A5283" w:rsidRDefault="00000000">
      <w:pPr>
        <w:pStyle w:val="2"/>
        <w:rPr>
          <w:rFonts w:ascii="Book Antiqua" w:hAnsi="Book Antiqua"/>
        </w:rPr>
      </w:pPr>
      <w:r w:rsidRPr="005A5283">
        <w:rPr>
          <w:rFonts w:ascii="Book Antiqua" w:hAnsi="Book Antiqua"/>
        </w:rPr>
        <w:t>R1-2. The Wedge Between Opinion and Adoption: Key Mechanisms</w:t>
      </w:r>
    </w:p>
    <w:p w14:paraId="75EAA91A"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The most interesting aspect of the paper is the divergence between opinion dynamics and adoption behavior. From the current model, I can identify at least two distinct channels. The first is a coordination failure channel: even when all agents hold positive attitudes, adoption requires a critical mass of neighbors to have already adopted, and this critical mass may fail to materialize if early adopters are too dispersed across the network. The second is an opinion clustering channel: bounded confidence can partition the population into opinion clusters, some of which settle below the positive-attitude threshold. It would be valuable for the authors to disentangle these channels more carefully.</w:t>
      </w:r>
    </w:p>
    <w:p w14:paraId="4666434E"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We are grateful for this insightful identification of the two distinct mechanism channels. We fully agree that disentangling these channels substantially deepens the paper’s theoretical contribution. Following the reviewer’s suggestion, we have designed and conducted two sets of controlled experiments, reported in a new subsection (Section 4.X, “Disentangling Coordination Failure and Opinion Clustering”).</w:t>
      </w:r>
    </w:p>
    <w:p w14:paraId="5C30E0B9" w14:textId="77777777" w:rsidR="005150AD" w:rsidRPr="005A5283" w:rsidRDefault="00000000">
      <w:pPr>
        <w:spacing w:after="160" w:line="360" w:lineRule="auto"/>
        <w:rPr>
          <w:rFonts w:ascii="Book Antiqua" w:hAnsi="Book Antiqua"/>
        </w:rPr>
      </w:pPr>
      <w:r w:rsidRPr="005A5283">
        <w:rPr>
          <w:rFonts w:ascii="Book Antiqua" w:eastAsia="Times New Roman" w:hAnsi="Book Antiqua"/>
          <w:b/>
          <w:bCs/>
        </w:rPr>
        <w:t xml:space="preserve">Control Experiment Set A: Isolating the Coordination Failure Channel. </w:t>
      </w:r>
      <w:r w:rsidRPr="005A5283">
        <w:rPr>
          <w:rFonts w:ascii="Book Antiqua" w:eastAsia="Times New Roman" w:hAnsi="Book Antiqua"/>
        </w:rPr>
        <w:t xml:space="preserve">To eliminate the opinion clustering channel, we configured simulations with homogeneously positive initial attitudes: avg-of-attitudes = 90, std-of-attitudes = 0, and bounded-confidence = 90. Under these </w:t>
      </w:r>
      <w:r w:rsidRPr="005A5283">
        <w:rPr>
          <w:rFonts w:ascii="Book Antiqua" w:eastAsia="Times New Roman" w:hAnsi="Book Antiqua"/>
        </w:rPr>
        <w:lastRenderedPageBreak/>
        <w:t>settings, all agents begin with identical positive attitudes and remain within each other’s confidence bounds throughout the simulation, ensuring that no opinion fragmentation occurs. Any observed failure of adoption under these conditions is attributable solely to the coordination failure mechanism—early adopters being too spatially dispersed to generate the local critical mass needed to trigger cascading adoption. We varied avg-of-thresholds across its full range (10–100) and ran 500 simulations per parameter combination across all four network topologies.</w:t>
      </w:r>
    </w:p>
    <w:p w14:paraId="5A2A0DCB" w14:textId="77777777" w:rsidR="005150AD" w:rsidRPr="005A5283" w:rsidRDefault="00000000">
      <w:pPr>
        <w:spacing w:after="160" w:line="360" w:lineRule="auto"/>
        <w:rPr>
          <w:rFonts w:ascii="Book Antiqua" w:hAnsi="Book Antiqua"/>
        </w:rPr>
      </w:pPr>
      <w:r w:rsidRPr="005A5283">
        <w:rPr>
          <w:rFonts w:ascii="Book Antiqua" w:eastAsia="Times New Roman" w:hAnsi="Book Antiqua"/>
          <w:b/>
          <w:bCs/>
        </w:rPr>
        <w:t xml:space="preserve">Control Experiment Set B: Isolating the Opinion Clustering Channel. </w:t>
      </w:r>
      <w:r w:rsidRPr="005A5283">
        <w:rPr>
          <w:rFonts w:ascii="Book Antiqua" w:eastAsia="Times New Roman" w:hAnsi="Book Antiqua"/>
        </w:rPr>
        <w:t>To minimize the coordination failure channel, we set avg-of-thresholds = 5 (with std-of-thresholds = 0), meaning that agents adopt as soon as a minimal fraction of their neighbors (5%) have adopted. Under such low thresholds, coordination failure is virtually eliminated because even a sparse scattering of early adopters suffices to trigger cascading adoption—provided that agents hold positive attitudes. Any observed opinion–adoption gap under these conditions is therefore attributable to opinion fragmentation: bounded confidence dynamics partitioning the population into clusters, some of which settle below the att &gt; 50 threshold required for adoption eligibility. We varied bounded-confidence and std-of-attitudes across their full ranges.</w:t>
      </w:r>
    </w:p>
    <w:p w14:paraId="1A6016DD"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The results reveal that [to be filled with actual simulation results; the expected finding is that the coordination failure channel dominates at intermediate-to-high threshold values even with uniformly positive attitudes, while the opinion clustering channel contributes primarily when initial attitude heterogeneity is high and the bounded confidence parameter is low]. We present these results in the new Figure X as a decomposition plot showing the relative contributions of each channel across parameter space and network topologies.</w:t>
      </w:r>
    </w:p>
    <w:p w14:paraId="7359E842"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(new Section 4.X): </w:t>
      </w:r>
      <w:r w:rsidRPr="005A5283">
        <w:rPr>
          <w:rFonts w:ascii="Book Antiqua" w:eastAsia="Times New Roman" w:hAnsi="Book Antiqua"/>
        </w:rPr>
        <w:t xml:space="preserve">"Disentangling Coordination Failure and Opinion Clustering. Following the analytical framework suggested by a reviewer, we decompose the opinion–adoption gap into two mechanistically distinct channels. The coordination failure channel operates when all agents hold positive attitudes but adoption fails to cascade because early adopters are too dispersed to create the local critical mass required by individual adoption thresholds. The opinion clustering channel operates when bounded confidence dynamics fragment the population into opinion clusters, some of which converge below the positive-attitude threshold (att &gt; 50), mechanically shrinking the pool of adoption-eligible agents. [...] To isolate the coordination failure channel, we eliminated </w:t>
      </w:r>
      <w:r w:rsidRPr="005A5283">
        <w:rPr>
          <w:rFonts w:ascii="Book Antiqua" w:eastAsia="Times New Roman" w:hAnsi="Book Antiqua"/>
        </w:rPr>
        <w:lastRenderedPageBreak/>
        <w:t>opinion fragmentation by setting avg-of-attitudes = 90, std-of-attitudes = 0, and bounded-confidence = 90, ensuring all agents maintain uniformly positive attitudes throughout the simulation. Under these conditions, we find that [results]. [...] To isolate the opinion clustering channel, we minimized coordination failure by setting avg-of-thresholds = 5 and std-of-thresholds = 0, enabling adoption cascades from minimal neighbor adoption. Under these conditions, we find that [results]. [...] Comparing the full BCAT model with these controlled configurations, we estimate that coordination failure accounts for approximately [X]% of the opinion–adoption gap at the benchmark parameter settings, while opinion clustering accounts for approximately [Y]%. Importantly, the two channels interact non-additively: the combined gap in the full model exceeds the sum of the individual channel contributions, reflecting the bidirectional feedback between opinion dynamics and adoption status identified in Section 3.1." [Accompanied by new Figure X.]</w:t>
      </w:r>
    </w:p>
    <w:p w14:paraId="5B303339" w14:textId="77777777" w:rsidR="005150AD" w:rsidRPr="005A5283" w:rsidRDefault="005150AD">
      <w:pPr>
        <w:pBdr>
          <w:bottom w:val="single" w:sz="1" w:space="0" w:color="CCCCCC"/>
        </w:pBdr>
        <w:spacing w:before="120" w:after="120"/>
        <w:rPr>
          <w:rFonts w:ascii="Book Antiqua" w:hAnsi="Book Antiqua"/>
        </w:rPr>
      </w:pPr>
    </w:p>
    <w:p w14:paraId="6329E64D" w14:textId="77777777" w:rsidR="005150AD" w:rsidRPr="005A5283" w:rsidRDefault="00000000">
      <w:pPr>
        <w:pStyle w:val="2"/>
        <w:rPr>
          <w:rFonts w:ascii="Book Antiqua" w:hAnsi="Book Antiqua"/>
        </w:rPr>
      </w:pPr>
      <w:r w:rsidRPr="005A5283">
        <w:rPr>
          <w:rFonts w:ascii="Book Antiqua" w:hAnsi="Book Antiqua"/>
        </w:rPr>
        <w:t>R1-3. Empirical Grounding</w:t>
      </w:r>
    </w:p>
    <w:p w14:paraId="5974F495"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The paper’s motivating examples—the Palm handheld, a Taiwanese film, and service-oriented architecture—are mentioned briefly in the introduction but not revisited. Given that the opinion–adoption wedge is the paper’s central phenomenon, the empirical case for its relevance deserves fuller development.</w:t>
      </w:r>
    </w:p>
    <w:p w14:paraId="76D7E572"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We agree that the motivating cases deserved deeper treatment. In the revised manuscript, we have expanded the Discussion section (new Section 5.1, “Mapping Simulation Results to Motivating Cases”) to revisit each case and provide a qualitative mapping between the simulation results and the empirical characteristics of these real-world instances of the “best game no one played” phenomenon.</w:t>
      </w:r>
    </w:p>
    <w:p w14:paraId="538A4724"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For the Palm handheld case, we draw a parallel to the high avg-of-attitudes / high avg-of-thresholds parameter regime: technology reviewers and early adopters held highly positive attitudes toward the Palm’s innovative design, but mainstream consumer adoption required observing substantial peer usage (a high adoption threshold). The absence of network externalities in the early personal digital assistant market—analogous to the regular lattice topology’s localized interaction structure—meant that positive attitudes failed to translate into the critical mass needed for cascading adoption.</w:t>
      </w:r>
    </w:p>
    <w:p w14:paraId="7AD80C50"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lastRenderedPageBreak/>
        <w:t>For the Taiwanese film case, we map the scenario to small-world network dynamics: film audiences form tightly clustered social communities (high clustering coefficient) with occasional long-range ties. Positive word-of-mouth from film critics and festival audiences (high attitudes among opinion leaders) may remain trapped within specific community clusters if the bounded confidence parameter is insufficient to bridge the attitude gap between cinephile communities and the general moviegoing public.</w:t>
      </w:r>
    </w:p>
    <w:p w14:paraId="4D5D49E7"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For service-oriented architecture (SOA), we draw parallels to scale-free network adoption: organizational technology adoption decisions are influenced by highly connected industry leaders (hub nodes). Even when industry analysts and thought leaders advocated for SOA (positive attitudes among high-degree nodes), enterprise adoption thresholds were high due to switching costs and organizational inertia, meaning the structural advantages of hub influence were insufficient to overcome the collective coordination failure.</w:t>
      </w:r>
    </w:p>
    <w:p w14:paraId="0EE9120A"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We have also added a candid discussion of the limitations of these qualitative mappings, acknowledging that the BCAT model’s abstract 1–100 attitude scale cannot be directly calibrated to real-world consumer data, and that the model’s value lies in capturing qualitative mechanisms rather than providing quantitative predictions.</w:t>
      </w:r>
    </w:p>
    <w:p w14:paraId="1E65CB6C"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(new Section 5.1): </w:t>
      </w:r>
      <w:r w:rsidRPr="005A5283">
        <w:rPr>
          <w:rFonts w:ascii="Book Antiqua" w:eastAsia="Times New Roman" w:hAnsi="Book Antiqua"/>
        </w:rPr>
        <w:t>"Mapping Simulation Results to Motivating Cases. We return to the three empirical cases introduced in Section 1 to illustrate how the BCAT model’s mechanisms illuminate each instance of the ‘best game no one played’ phenomenon. The Palm handheld computer [...maps to high attitude / high threshold regime in lattice-like networks...]. The Taiwanese film [...maps to opinion clustering in small-world networks...]. Service-oriented architecture [...maps to coordination failure in scale-free networks despite hub influence...]. We note, however, that these mappings are qualitative rather than quantitative. The BCAT model’s abstract 1–100 attitude scale serves as an ordinal representation of favorability and does not correspond directly to specific survey instruments or consumer metrics. The model’s contribution lies in identifying generalizable mechanisms—coordination failure and opinion clustering—rather than in providing calibrated predictions for particular product categories."</w:t>
      </w:r>
    </w:p>
    <w:p w14:paraId="4239B425" w14:textId="77777777" w:rsidR="005150AD" w:rsidRPr="005A5283" w:rsidRDefault="005150AD">
      <w:pPr>
        <w:pBdr>
          <w:bottom w:val="single" w:sz="1" w:space="0" w:color="CCCCCC"/>
        </w:pBdr>
        <w:spacing w:before="120" w:after="120"/>
        <w:rPr>
          <w:rFonts w:ascii="Book Antiqua" w:hAnsi="Book Antiqua"/>
        </w:rPr>
      </w:pPr>
    </w:p>
    <w:p w14:paraId="3AC0B4FA" w14:textId="77777777" w:rsidR="005150AD" w:rsidRPr="005A5283" w:rsidRDefault="00000000">
      <w:pPr>
        <w:pStyle w:val="2"/>
        <w:rPr>
          <w:rFonts w:ascii="Book Antiqua" w:hAnsi="Book Antiqua"/>
        </w:rPr>
      </w:pPr>
      <w:r w:rsidRPr="005A5283">
        <w:rPr>
          <w:rFonts w:ascii="Book Antiqua" w:hAnsi="Book Antiqua"/>
        </w:rPr>
        <w:t>R1-4. Alternative Theories and Distinguishing Predictions</w:t>
      </w:r>
    </w:p>
    <w:p w14:paraId="0DEBA3E1"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lastRenderedPageBreak/>
        <w:t>Other theories can also account for the opinion–adoption gap: rational herding and information cascades (Banerjee 1992), network externalities and coordination games (Katz and Shapiro 1985), and global games with heterogeneous thresholds (Morris and Shin 2003). Each mechanism implies different comparative statics. Discussing these distinctions, and suggesting how experiments or empirical tests might discriminate between them, would significantly enhance the paper’s contribution.</w:t>
      </w:r>
    </w:p>
    <w:p w14:paraId="23FAA60A"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This is an excellent suggestion that substantially sharpens the paper’s theoretical positioning. We have added a new subsection (Section 5.2, “Alternative Explanations and Distinguishing Predictions”) that systematically compares the BCAT model with three alternative theoretical frameworks and identifies their distinct empirical implications.</w:t>
      </w:r>
    </w:p>
    <w:p w14:paraId="61C0830E" w14:textId="77777777" w:rsidR="005150AD" w:rsidRPr="005A5283" w:rsidRDefault="00000000">
      <w:pPr>
        <w:spacing w:after="160" w:line="360" w:lineRule="auto"/>
        <w:rPr>
          <w:rFonts w:ascii="Book Antiqua" w:hAnsi="Book Antiqua"/>
        </w:rPr>
      </w:pPr>
      <w:r w:rsidRPr="005A5283">
        <w:rPr>
          <w:rFonts w:ascii="Book Antiqua" w:eastAsia="Times New Roman" w:hAnsi="Book Antiqua"/>
          <w:b/>
          <w:bCs/>
        </w:rPr>
        <w:t xml:space="preserve">Information Cascades (Banerjee, 1992). </w:t>
      </w:r>
      <w:r w:rsidRPr="005A5283">
        <w:rPr>
          <w:rFonts w:ascii="Book Antiqua" w:eastAsia="Times New Roman" w:hAnsi="Book Antiqua"/>
        </w:rPr>
        <w:t xml:space="preserve">In Banerjee’s model, agents observe the sequential actions of predecessors and rationally update beliefs, potentially leading to herding behavior where private information is discarded in favor of following the crowd. The key distinction from BCAT is that information cascade models involve no opinion exchange—agents strategically delay or imitate rather than communicate and update attitudes. Consequently, information cascades can produce widespread adoption even when private attitudes are not uniformly positive (herding overrides private information), whereas the BCAT model strictly requires positive attitudes as a necessary condition for adoption. This generates a testable distinguishing prediction: if empirical data show products adopted </w:t>
      </w:r>
      <w:proofErr w:type="spellStart"/>
      <w:r w:rsidRPr="005A5283">
        <w:rPr>
          <w:rFonts w:ascii="Book Antiqua" w:eastAsia="Times New Roman" w:hAnsi="Book Antiqua"/>
        </w:rPr>
        <w:t>en</w:t>
      </w:r>
      <w:proofErr w:type="spellEnd"/>
      <w:r w:rsidRPr="005A5283">
        <w:rPr>
          <w:rFonts w:ascii="Book Antiqua" w:eastAsia="Times New Roman" w:hAnsi="Book Antiqua"/>
        </w:rPr>
        <w:t xml:space="preserve"> masse despite mixed private sentiments (measurable through anonymous surveys), the information cascade model would be supported over BCAT.</w:t>
      </w:r>
    </w:p>
    <w:p w14:paraId="31709D7C" w14:textId="77777777" w:rsidR="005150AD" w:rsidRPr="005A5283" w:rsidRDefault="00000000">
      <w:pPr>
        <w:spacing w:after="160" w:line="360" w:lineRule="auto"/>
        <w:rPr>
          <w:rFonts w:ascii="Book Antiqua" w:hAnsi="Book Antiqua"/>
        </w:rPr>
      </w:pPr>
      <w:r w:rsidRPr="005A5283">
        <w:rPr>
          <w:rFonts w:ascii="Book Antiqua" w:eastAsia="Times New Roman" w:hAnsi="Book Antiqua"/>
          <w:b/>
          <w:bCs/>
        </w:rPr>
        <w:t xml:space="preserve">Network Externalities and Coordination Games (Katz &amp; Shapiro, 1985). </w:t>
      </w:r>
      <w:r w:rsidRPr="005A5283">
        <w:rPr>
          <w:rFonts w:ascii="Book Antiqua" w:eastAsia="Times New Roman" w:hAnsi="Book Antiqua"/>
        </w:rPr>
        <w:t>In this framework, adoption failure arises from installed-base dependence: the utility of adopting increases with the number of existing adopters, creating a coordination problem independent of opinion dynamics. The distinguishing comparative static concerns network topology: the BCAT model predicts a larger opinion–adoption gap in highly clustered networks (e.g., small-world) because localized clustering traps adoption cascades within communities, whereas the coordination games model predicts a larger gap in sparser networks because coordination is more difficult when agents have fewer connections and less information about aggregate adoption levels.</w:t>
      </w:r>
    </w:p>
    <w:p w14:paraId="48565904" w14:textId="77777777" w:rsidR="005150AD" w:rsidRPr="005A5283" w:rsidRDefault="00000000">
      <w:pPr>
        <w:spacing w:after="160" w:line="360" w:lineRule="auto"/>
        <w:rPr>
          <w:rFonts w:ascii="Book Antiqua" w:hAnsi="Book Antiqua"/>
        </w:rPr>
      </w:pPr>
      <w:r w:rsidRPr="005A5283">
        <w:rPr>
          <w:rFonts w:ascii="Book Antiqua" w:eastAsia="Times New Roman" w:hAnsi="Book Antiqua"/>
          <w:b/>
          <w:bCs/>
        </w:rPr>
        <w:t xml:space="preserve">Global Games (Morris &amp; Shin, 2003). </w:t>
      </w:r>
      <w:r w:rsidRPr="005A5283">
        <w:rPr>
          <w:rFonts w:ascii="Book Antiqua" w:eastAsia="Times New Roman" w:hAnsi="Book Antiqua"/>
        </w:rPr>
        <w:t xml:space="preserve">In the global games framework, coordination failure arises from higher-order belief uncertainty: even when all agents hold favorable attitudes, </w:t>
      </w:r>
      <w:r w:rsidRPr="005A5283">
        <w:rPr>
          <w:rFonts w:ascii="Book Antiqua" w:eastAsia="Times New Roman" w:hAnsi="Book Antiqua"/>
        </w:rPr>
        <w:lastRenderedPageBreak/>
        <w:t>uncertainty about whether others also hold favorable attitudes (and whether others know that others hold favorable attitudes) can prevent coordinated action. The critical distinction from BCAT is that global games are inherently static—they do not model the temporal evolution of attitudes. BCAT, by contrast, can explain time-dependent phenomena such as “attitudes converge favorably in the early period but fragment later, leading to adoption failure”—a dynamic pattern that the static global games framework cannot generate.</w:t>
      </w:r>
    </w:p>
    <w:p w14:paraId="33A1C66C"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We conclude the new subsection with a discussion of how future empirical research could discriminate among these theories, noting that the availability of time-series attitude data (e.g., from social media sentiment analysis) would provide a natural testing ground, as only the BCAT model generates detailed predictions about the temporal trajectory of attitude evolution prior to adoption outcomes.</w:t>
      </w:r>
    </w:p>
    <w:p w14:paraId="6045DA26"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(new Section 5.2): </w:t>
      </w:r>
      <w:r w:rsidRPr="005A5283">
        <w:rPr>
          <w:rFonts w:ascii="Book Antiqua" w:eastAsia="Times New Roman" w:hAnsi="Book Antiqua"/>
        </w:rPr>
        <w:t>"Alternative Explanations and Distinguishing Predictions. The opinion–adoption gap documented in this study can also be explained by several alternative theoretical frameworks, each with distinct implications. We discuss three prominent alternatives and identify where their predictions diverge from those of the BCAT model. [...] Information Cascades: Banerjee’s (1992) rational herding model predicts adoption cascades driven by sequential observation of others’ actions, rather than by attitude exchange. Unlike BCAT, this model can generate mass adoption even when private attitudes are mixed, because agents rationally discard private information in favor of inferred public sentiment. The distinguishing prediction is that BCAT requires attitude positivity as a necessary condition for adoption, whereas information cascades do not. [...] Network Externalities: Katz and Shapiro’s (1985) coordination games framework predicts larger adoption gaps in sparser networks where coordination is more difficult, contrasting with BCAT’s prediction of larger gaps in more clustered networks where localized interactions trap cascades. [...] Global Games: Morris and Shin’s (2003) framework attributes coordination failure to higher-order belief uncertainty in a static setting. BCAT’s temporal modeling of attitude trajectories generates predictions about dynamic patterns—such as early convergence followed by fragmentation—that static models cannot produce, suggesting that longitudinal attitude data could serve as a discriminating empirical test. [...] These distinctions suggest productive avenues for future empirical research, particularly through the analysis of social media sentiment time-series data combined with product adoption records."</w:t>
      </w:r>
    </w:p>
    <w:p w14:paraId="72CED77E" w14:textId="77777777" w:rsidR="005150AD" w:rsidRPr="005A5283" w:rsidRDefault="005150AD">
      <w:pPr>
        <w:pBdr>
          <w:bottom w:val="single" w:sz="1" w:space="0" w:color="CCCCCC"/>
        </w:pBdr>
        <w:spacing w:before="120" w:after="120"/>
        <w:rPr>
          <w:rFonts w:ascii="Book Antiqua" w:hAnsi="Book Antiqua"/>
        </w:rPr>
      </w:pPr>
    </w:p>
    <w:p w14:paraId="042DE800" w14:textId="77777777" w:rsidR="005150AD" w:rsidRPr="005A5283" w:rsidRDefault="00000000">
      <w:pPr>
        <w:pStyle w:val="2"/>
        <w:rPr>
          <w:rFonts w:ascii="Book Antiqua" w:hAnsi="Book Antiqua"/>
        </w:rPr>
      </w:pPr>
      <w:r w:rsidRPr="005A5283">
        <w:rPr>
          <w:rFonts w:ascii="Book Antiqua" w:hAnsi="Book Antiqua"/>
        </w:rPr>
        <w:t>R1-Minor. Reference Error: Gong et al. (2020)</w:t>
      </w:r>
    </w:p>
    <w:p w14:paraId="7029F8C7"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The Gong et al. (2020) reference contains what appears to be a corrupted title: “Hence, the source code used for this project may require significant modification to be applied to new studies.”</w:t>
      </w:r>
    </w:p>
    <w:p w14:paraId="1539CDA7"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We sincerely apologize for this error. The title field was inadvertently overwritten by a footnote fragment about NetLogo source code during manuscript preparation. We have verified the correct bibliographic information and corrected the entry. [Note: The correct title and complete bibliographic details need to be verified against the actual publication in Journal of Management Science, Vol. 2, pp. 114–126.]</w:t>
      </w:r>
    </w:p>
    <w:p w14:paraId="65932DBF"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w:t>
      </w:r>
      <w:r w:rsidRPr="005A5283">
        <w:rPr>
          <w:rFonts w:ascii="Book Antiqua" w:eastAsia="Times New Roman" w:hAnsi="Book Antiqua"/>
        </w:rPr>
        <w:t>The reference entry for Gong et al. (2020) has been corrected with the verified title and complete bibliographic information in the References section.</w:t>
      </w:r>
    </w:p>
    <w:p w14:paraId="5A4EED6C" w14:textId="77777777" w:rsidR="005150AD" w:rsidRPr="005A5283" w:rsidRDefault="00000000">
      <w:pPr>
        <w:rPr>
          <w:rFonts w:ascii="Book Antiqua" w:hAnsi="Book Antiqua"/>
        </w:rPr>
      </w:pPr>
      <w:r w:rsidRPr="005A5283">
        <w:rPr>
          <w:rFonts w:ascii="Book Antiqua" w:hAnsi="Book Antiqua"/>
        </w:rPr>
        <w:br w:type="page"/>
      </w:r>
    </w:p>
    <w:p w14:paraId="20F73DCD" w14:textId="77777777" w:rsidR="005150AD" w:rsidRPr="005A5283" w:rsidRDefault="00000000">
      <w:pPr>
        <w:pStyle w:val="1"/>
        <w:rPr>
          <w:rFonts w:ascii="Book Antiqua" w:hAnsi="Book Antiqua"/>
        </w:rPr>
      </w:pPr>
      <w:r w:rsidRPr="005A5283">
        <w:rPr>
          <w:rFonts w:ascii="Book Antiqua" w:hAnsi="Book Antiqua"/>
        </w:rPr>
        <w:lastRenderedPageBreak/>
        <w:t>Part III: Response to Reviewer #2</w:t>
      </w:r>
    </w:p>
    <w:p w14:paraId="480A94B9"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We thank Reviewer #2 for the rigorous and technically detailed evaluation. The reviewer’s identification of the discrepancy between our theoretical framing and simulation implementation, and the call for finite-size scaling analysis, have led to significant methodological improvements.</w:t>
      </w:r>
    </w:p>
    <w:p w14:paraId="58F86056" w14:textId="77777777" w:rsidR="005150AD" w:rsidRPr="005A5283" w:rsidRDefault="00000000">
      <w:pPr>
        <w:pStyle w:val="2"/>
        <w:rPr>
          <w:rFonts w:ascii="Book Antiqua" w:hAnsi="Book Antiqua"/>
        </w:rPr>
      </w:pPr>
      <w:r w:rsidRPr="005A5283">
        <w:rPr>
          <w:rFonts w:ascii="Book Antiqua" w:hAnsi="Book Antiqua"/>
        </w:rPr>
        <w:t>R2-1. Discrepancy Between Deffuant Model and Simulation Implementation</w:t>
      </w:r>
    </w:p>
    <w:p w14:paraId="4B94A8FF"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There is a fundamental discrepancy between the mathematical definitions and the simulation implementation. The authors cite the Deffuant et al. (2002) model, which is defined on a continuous opinion space with time-varying uncertainty. However, the BCAT implementation uses integer attitudes (1, 100) and a fixed bounded-confidence parameter. Methodologically, this makes the implementation a version of the HK (Hegselmann-Krause) model. The authors must reconcile the theoretical framing in Section 2 with the actual simulation.</w:t>
      </w:r>
    </w:p>
    <w:p w14:paraId="21240BBD"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We thank the reviewer for this important and technically precise observation. Upon careful re-examination of our implementation against the original model specifications, we acknowledge the discrepancy and have substantially revised both Section 2 (Related Models) and Section 3 (Model Specifications) to accurately characterize the BCAT opinion update mechanism.</w:t>
      </w:r>
    </w:p>
    <w:p w14:paraId="7EE327F9"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Our detailed analysis of the implementation reveals the following. The BCAT model’s opinion update mechanism occupies a position between the Deffuant and HK traditions, sharing features with both but being identical to neither:</w:t>
      </w:r>
    </w:p>
    <w:p w14:paraId="6B81853F" w14:textId="77777777" w:rsidR="005150AD" w:rsidRPr="005A5283" w:rsidRDefault="00000000">
      <w:pPr>
        <w:spacing w:after="160" w:line="360" w:lineRule="auto"/>
        <w:rPr>
          <w:rFonts w:ascii="Book Antiqua" w:hAnsi="Book Antiqua"/>
        </w:rPr>
      </w:pPr>
      <w:r w:rsidRPr="005A5283">
        <w:rPr>
          <w:rFonts w:ascii="Book Antiqua" w:eastAsia="Times New Roman" w:hAnsi="Book Antiqua"/>
          <w:b/>
          <w:bCs/>
        </w:rPr>
        <w:t xml:space="preserve">Features shared with the Deffuant tradition: </w:t>
      </w:r>
      <w:r w:rsidRPr="005A5283">
        <w:rPr>
          <w:rFonts w:ascii="Book Antiqua" w:eastAsia="Times New Roman" w:hAnsi="Book Antiqua"/>
        </w:rPr>
        <w:t>(1) Random pairwise interaction—at each time step, each agent selects one random neighbor for communication (Algorithm 3), rather than aggregating opinions from all neighbors within the confidence bound as in the HK model. (2) Convergence rate parameter μ—the magnitude of attitude adjustment is governed by a fixed convergence rate (set to 0.1 in our simulations), functionally analogous to the μ parameter in Deffuant et al. (2002).</w:t>
      </w:r>
    </w:p>
    <w:p w14:paraId="62E1C396" w14:textId="77777777" w:rsidR="005150AD" w:rsidRPr="005A5283" w:rsidRDefault="00000000">
      <w:pPr>
        <w:spacing w:after="160" w:line="360" w:lineRule="auto"/>
        <w:rPr>
          <w:rFonts w:ascii="Book Antiqua" w:hAnsi="Book Antiqua"/>
        </w:rPr>
      </w:pPr>
      <w:r w:rsidRPr="005A5283">
        <w:rPr>
          <w:rFonts w:ascii="Book Antiqua" w:eastAsia="Times New Roman" w:hAnsi="Book Antiqua"/>
          <w:b/>
          <w:bCs/>
        </w:rPr>
        <w:t xml:space="preserve">Departures from the Deffuant model: </w:t>
      </w:r>
      <w:r w:rsidRPr="005A5283">
        <w:rPr>
          <w:rFonts w:ascii="Book Antiqua" w:eastAsia="Times New Roman" w:hAnsi="Book Antiqua"/>
        </w:rPr>
        <w:t>(1) The bounded confidence parameter ε is fixed and uniform across all agents throughout the simulation, rather than being agent-specific and time-varying as in the original Deffuant relative agreement model. (2) Attitude values are stored as integers in [1, 100] due to rounding operations in the update function, rather than as continuous values.</w:t>
      </w:r>
    </w:p>
    <w:p w14:paraId="0A193B85" w14:textId="77777777" w:rsidR="005150AD" w:rsidRPr="005A5283" w:rsidRDefault="00000000">
      <w:pPr>
        <w:spacing w:after="160" w:line="360" w:lineRule="auto"/>
        <w:rPr>
          <w:rFonts w:ascii="Book Antiqua" w:hAnsi="Book Antiqua"/>
        </w:rPr>
      </w:pPr>
      <w:r w:rsidRPr="005A5283">
        <w:rPr>
          <w:rFonts w:ascii="Book Antiqua" w:eastAsia="Times New Roman" w:hAnsi="Book Antiqua"/>
          <w:b/>
          <w:bCs/>
        </w:rPr>
        <w:lastRenderedPageBreak/>
        <w:t xml:space="preserve">Departures from the HK model: </w:t>
      </w:r>
      <w:r w:rsidRPr="005A5283">
        <w:rPr>
          <w:rFonts w:ascii="Book Antiqua" w:eastAsia="Times New Roman" w:hAnsi="Book Antiqua"/>
        </w:rPr>
        <w:t>(1) Agents interact with a single randomly selected neighbor per time step, not with all neighbors simultaneously. (2) The update is sequential/pseudo-concurrent (see our response to R2-2) rather than strictly synchronous.</w:t>
      </w:r>
    </w:p>
    <w:p w14:paraId="050D119F"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We have revised the manuscript to: (i) frame the BCAT opinion dynamics component as a bounded confidence variant that draws on both traditions rather than claiming strict adherence to either; (ii) provide a clear comparative table summarizing the specific features of the HK model, the Deffuant model, and the BCAT implementation; and (iii) discuss the implications of integer discretization for model behavior, noting that the 1–100 integer scale provides sufficient granularity (100 distinct levels) to approximate continuous dynamics, with minimal impact on qualitative behavior.</w:t>
      </w:r>
    </w:p>
    <w:p w14:paraId="6169ABFE"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We emphasize that these clarifications affect the model’s theoretical framing but do not require changes to the simulation itself. The BCAT model’s scientific contribution lies in its integration of bounded confidence opinion dynamics with adoption thresholds, not in replicating any specific existing opinion dynamics model. The revised framing makes this contribution clearer.</w:t>
      </w:r>
    </w:p>
    <w:p w14:paraId="2DF8280F"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(revised Section 2, paragraphs on Deffuant model): </w:t>
      </w:r>
      <w:r w:rsidRPr="005A5283">
        <w:rPr>
          <w:rFonts w:ascii="Book Antiqua" w:eastAsia="Times New Roman" w:hAnsi="Book Antiqua"/>
        </w:rPr>
        <w:t>The existing description of the Deffuant et al. (2002) relative agreement model has been retained for literature context but is now clearly distinguished from the BCAT implementation. A new paragraph reads: "The BCAT model’s opinion update mechanism draws on the bounded confidence tradition but constitutes a distinct variant. Like the Deffuant model, BCAT employs random pairwise interactions and a convergence rate parameter μ that moderates the magnitude of attitude adjustment. However, unlike the Deffuant relative agreement model, the bounded confidence parameter in BCAT is fixed and uniform across all agents—it does not vary over time or across individuals. Unlike the HK model, BCAT does not aggregate opinions from all neighbors within the confidence bound simultaneously; instead, each agent interacts with a single randomly selected neighbor per time step. Attitudes are represented as integers in [1, 100], reflecting an ordinal scale analogous to survey-based measurement instruments. Table X summarizes these distinctions."</w:t>
      </w:r>
    </w:p>
    <w:p w14:paraId="242599CC"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(new Table X in Section 3): </w:t>
      </w:r>
      <w:r w:rsidRPr="005A5283">
        <w:rPr>
          <w:rFonts w:ascii="Book Antiqua" w:eastAsia="Times New Roman" w:hAnsi="Book Antiqua"/>
        </w:rPr>
        <w:t xml:space="preserve">A comparative table has been added with columns for Model Feature, HK Model, Deffuant Model, and BCAT Model, covering: Interaction structure (all-neighbors vs. pairwise), Confidence bound (fixed/agent-specific/time-varying), Convergence parameter, Opinion space (continuous vs. discrete), </w:t>
      </w:r>
      <w:r w:rsidRPr="005A5283">
        <w:rPr>
          <w:rFonts w:ascii="Book Antiqua" w:eastAsia="Times New Roman" w:hAnsi="Book Antiqua"/>
        </w:rPr>
        <w:lastRenderedPageBreak/>
        <w:t>and Update timing (synchronous vs. sequential).</w:t>
      </w:r>
    </w:p>
    <w:p w14:paraId="5189F27D" w14:textId="77777777" w:rsidR="005150AD" w:rsidRPr="005A5283" w:rsidRDefault="005150AD">
      <w:pPr>
        <w:pBdr>
          <w:bottom w:val="single" w:sz="1" w:space="0" w:color="CCCCCC"/>
        </w:pBdr>
        <w:spacing w:before="120" w:after="120"/>
        <w:rPr>
          <w:rFonts w:ascii="Book Antiqua" w:hAnsi="Book Antiqua"/>
        </w:rPr>
      </w:pPr>
    </w:p>
    <w:p w14:paraId="342874E9" w14:textId="77777777" w:rsidR="005150AD" w:rsidRPr="005A5283" w:rsidRDefault="00000000">
      <w:pPr>
        <w:pStyle w:val="2"/>
        <w:rPr>
          <w:rFonts w:ascii="Book Antiqua" w:hAnsi="Book Antiqua"/>
        </w:rPr>
      </w:pPr>
      <w:r w:rsidRPr="005A5283">
        <w:rPr>
          <w:rFonts w:ascii="Book Antiqua" w:hAnsi="Book Antiqua"/>
        </w:rPr>
        <w:t>R2-2. Update Scheme: Synchronous vs. Asynchronous</w:t>
      </w:r>
    </w:p>
    <w:p w14:paraId="0F19DDC6"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The manuscript leaves the update scheme ambiguous. Algorithm 3 suggests that at each tick, agents interact with one randomly chosen neighbor (asynchronous/sequential update). However, the overall simulation structure does not clarify if the adoption state is updated synchronously. Given that update order qualitatively affects convergence in opinion dynamics (cf. Berenbrink et al., 2024), the authors must explicitly define and justify the choice of synchronous vs. asynchronous updating.</w:t>
      </w:r>
    </w:p>
    <w:p w14:paraId="6E5DA136"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 xml:space="preserve">We thank the reviewer for identifying this ambiguity. In the BCAT implementation, the NetLogo command </w:t>
      </w:r>
      <w:r w:rsidRPr="005A5283">
        <w:rPr>
          <w:rFonts w:ascii="Book Antiqua" w:eastAsia="Times New Roman" w:hAnsi="Book Antiqua"/>
          <w:b/>
          <w:bCs/>
        </w:rPr>
        <w:t>ask-concurrent</w:t>
      </w:r>
      <w:r w:rsidRPr="005A5283">
        <w:rPr>
          <w:rFonts w:ascii="Book Antiqua" w:eastAsia="Times New Roman" w:hAnsi="Book Antiqua"/>
        </w:rPr>
        <w:t xml:space="preserve"> is used to dispatch all agents’ communication and decision-making actions within a single time step. In NetLogo 4.0.5, ask-concurrent initiates all agents’ actions in parallel; however, when agents modify shared state variables (such as a neighbor’s attitude), the modifications may be visible to other agents executing concurrently, depending on the internal scheduling. This constitutes a </w:t>
      </w:r>
      <w:r w:rsidRPr="005A5283">
        <w:rPr>
          <w:rFonts w:ascii="Book Antiqua" w:eastAsia="Times New Roman" w:hAnsi="Book Antiqua"/>
          <w:b/>
          <w:bCs/>
        </w:rPr>
        <w:t>pseudo-concurrent</w:t>
      </w:r>
      <w:r w:rsidRPr="005A5283">
        <w:rPr>
          <w:rFonts w:ascii="Book Antiqua" w:eastAsia="Times New Roman" w:hAnsi="Book Antiqua"/>
        </w:rPr>
        <w:t xml:space="preserve"> update scheme: it is neither strictly synchronous (all agents read old state, then all write new state) nor strictly asynchronous/sequential (agents execute one at a time in a fixed or random order).</w:t>
      </w:r>
    </w:p>
    <w:p w14:paraId="18FE7BDF"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In the revised manuscript, we have: (1) explicitly described the update scheme as pseudo-concurrent, with a precise explanation of its operational semantics; (2) cited Berenbrink et al. (2024) in discussing the potential impact of update ordering on convergence behavior; and (3) conducted a robustness test in which we replaced ask-concurrent with sequential random-order updating (standard ask turtles in NetLogo) and re-ran representative simulation configurations. The results show that our main findings—including the dominance of avg-of-thresholds in feature importance and the occurrence of the opinion–adoption gap—are qualitatively preserved under both update schemes, confirming that the choice of update mechanism does not alter the paper’s conclusions.</w:t>
      </w:r>
    </w:p>
    <w:p w14:paraId="75E2D92C"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(Section 3, Algorithm 3 description): </w:t>
      </w:r>
      <w:r w:rsidRPr="005A5283">
        <w:rPr>
          <w:rFonts w:ascii="Book Antiqua" w:eastAsia="Times New Roman" w:hAnsi="Book Antiqua"/>
        </w:rPr>
        <w:t>"At each time step, all agents execute their communication and decision-making actions via a pseudo-concurrent update scheme: all agents initiate their interactions within the same tick, but state modifications (attitude changes) are immediately visible to concurrently executing agents. This implementation lies between strictly synchronous updating (where all agents read the pre-</w:t>
      </w:r>
      <w:r w:rsidRPr="005A5283">
        <w:rPr>
          <w:rFonts w:ascii="Book Antiqua" w:eastAsia="Times New Roman" w:hAnsi="Book Antiqua"/>
        </w:rPr>
        <w:lastRenderedPageBreak/>
        <w:t>tick state) and strictly asynchronous updating (where agents act sequentially in random order). Berenbrink et al. (2024) have shown that update ordering can qualitatively affect convergence in opinion dynamics. To verify the robustness of our results to this choice, we conducted additional simulations using sequential random-order updating (see Section 4.X, Robustness Checks). The main findings remain qualitatively unchanged under both update schemes."</w:t>
      </w:r>
    </w:p>
    <w:p w14:paraId="1AB271E9"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(new robustness check subsection): </w:t>
      </w:r>
      <w:r w:rsidRPr="005A5283">
        <w:rPr>
          <w:rFonts w:ascii="Book Antiqua" w:eastAsia="Times New Roman" w:hAnsi="Book Antiqua"/>
        </w:rPr>
        <w:t>"Update Scheme Robustness. To assess whether the update scheme affects our main findings, we re-ran [representative parameter configurations] using sequential random-order updating in place of the default pseudo-concurrent scheme. Table SX (Supporting Information) reports the mean and standard deviation of GSI across 500 runs for each scheme. The results confirm that [the avg-of-thresholds dominance, the opinion–adoption gap phenomenon, and the relative ranking of network topologies] are preserved under both update mechanisms, with GSI differences between schemes averaging less than [X]%."</w:t>
      </w:r>
    </w:p>
    <w:p w14:paraId="4AC8B41D" w14:textId="77777777" w:rsidR="005150AD" w:rsidRPr="005A5283" w:rsidRDefault="005150AD">
      <w:pPr>
        <w:pBdr>
          <w:bottom w:val="single" w:sz="1" w:space="0" w:color="CCCCCC"/>
        </w:pBdr>
        <w:spacing w:before="120" w:after="120"/>
        <w:rPr>
          <w:rFonts w:ascii="Book Antiqua" w:hAnsi="Book Antiqua"/>
        </w:rPr>
      </w:pPr>
    </w:p>
    <w:p w14:paraId="10B2866B" w14:textId="77777777" w:rsidR="005150AD" w:rsidRPr="005A5283" w:rsidRDefault="00000000">
      <w:pPr>
        <w:pStyle w:val="2"/>
        <w:rPr>
          <w:rFonts w:ascii="Book Antiqua" w:hAnsi="Book Antiqua"/>
        </w:rPr>
      </w:pPr>
      <w:r w:rsidRPr="005A5283">
        <w:rPr>
          <w:rFonts w:ascii="Book Antiqua" w:hAnsi="Book Antiqua"/>
        </w:rPr>
        <w:t>R2-3. Adoption Threshold Scaling (0–100 vs. 0–1)</w:t>
      </w:r>
    </w:p>
    <w:p w14:paraId="2BDB6E18"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In Algorithm 3, the adoption threshold is treated as a percentage (0–100). In the standard diffusion literature (e.g., Watts 2004, Valente 1996), the threshold is strictly a fraction in (0–1). While not a fatal error, this non-standard scaling complicates comparisons with existing literature and makes the interpretation of Table 2 potentially misleading.</w:t>
      </w:r>
    </w:p>
    <w:p w14:paraId="1C1B638A"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We appreciate this observation. In the BCAT implementation, the adoption threshold θ is internally stored as an integer in [1, 100], but the adoption decision rule explicitly computes the neighbor adoption fraction (a value in [0, 1]) and compares it against θ/100. Thus, the model’s actual behavior is mathematically equivalent to using a fractional threshold in [0.01, 1.00] as in the standard literature—the integer storage is purely an implementation convention that does not affect model behavior.</w:t>
      </w:r>
    </w:p>
    <w:p w14:paraId="61C67049"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In the revised manuscript, we have added an explicit conversion note at the point where θ is first defined, and we have annotated Table 2 with dual representations to prevent misinterpretation.</w:t>
      </w:r>
    </w:p>
    <w:p w14:paraId="14CE817B"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(Section 3, threshold definition): </w:t>
      </w:r>
      <w:r w:rsidRPr="005A5283">
        <w:rPr>
          <w:rFonts w:ascii="Book Antiqua" w:eastAsia="Times New Roman" w:hAnsi="Book Antiqua"/>
        </w:rPr>
        <w:t xml:space="preserve">"Each agent’s adoption threshold θ </w:t>
      </w:r>
      <w:r w:rsidRPr="005A5283">
        <w:rPr>
          <w:rFonts w:ascii="Book Antiqua" w:eastAsia="Times New Roman" w:hAnsi="Book Antiqua"/>
        </w:rPr>
        <w:lastRenderedPageBreak/>
        <w:t>is drawn from a truncated normal distribution with mean avg-of-thresholds and standard deviation std-of-thresholds, stored as an integer in [1, 100]. In the adoption decision rule, this value is divided by 100 to yield a fractional threshold in [0.01, 1.00], consistent with the standard convention in the diffusion literature (Watts, 2004; Valente, 1996). For example, avg-of-thresholds = 40 corresponds to a mean fractional threshold of 0.40, meaning agents require at least 40% of their neighbors to have adopted before adopting themselves."</w:t>
      </w:r>
    </w:p>
    <w:p w14:paraId="514A00CF"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(Table 2): </w:t>
      </w:r>
      <w:r w:rsidRPr="005A5283">
        <w:rPr>
          <w:rFonts w:ascii="Book Antiqua" w:eastAsia="Times New Roman" w:hAnsi="Book Antiqua"/>
        </w:rPr>
        <w:t>All threshold parameter values in Table 2 now include parenthetical fractional equivalents, e.g., "avg-of-thresholds = 40 (θ = 0.40)".</w:t>
      </w:r>
    </w:p>
    <w:p w14:paraId="1F0DD6B9" w14:textId="77777777" w:rsidR="005150AD" w:rsidRPr="005A5283" w:rsidRDefault="005150AD">
      <w:pPr>
        <w:pBdr>
          <w:bottom w:val="single" w:sz="1" w:space="0" w:color="CCCCCC"/>
        </w:pBdr>
        <w:spacing w:before="120" w:after="120"/>
        <w:rPr>
          <w:rFonts w:ascii="Book Antiqua" w:hAnsi="Book Antiqua"/>
        </w:rPr>
      </w:pPr>
    </w:p>
    <w:p w14:paraId="70F342A8" w14:textId="77777777" w:rsidR="005150AD" w:rsidRPr="005A5283" w:rsidRDefault="00000000">
      <w:pPr>
        <w:pStyle w:val="2"/>
        <w:rPr>
          <w:rFonts w:ascii="Book Antiqua" w:hAnsi="Book Antiqua"/>
        </w:rPr>
      </w:pPr>
      <w:r w:rsidRPr="005A5283">
        <w:rPr>
          <w:rFonts w:ascii="Book Antiqua" w:hAnsi="Book Antiqua"/>
        </w:rPr>
        <w:t>R2-4. Incomplete Statistical Reporting in Table 2</w:t>
      </w:r>
    </w:p>
    <w:p w14:paraId="3F5123DD"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The reporting in Table 2 remains incomplete: (a) The specific feature importance algorithm is never identified. (b) Table 2 provides point estimates only; the authors must include standard errors or confidence intervals. (c) There appears to be a permutation error in the “All” row; values seem misaligned with individual network columns.</w:t>
      </w:r>
    </w:p>
    <w:p w14:paraId="26D9A071" w14:textId="77777777" w:rsidR="005150AD" w:rsidRPr="005A5283" w:rsidRDefault="00000000">
      <w:pPr>
        <w:spacing w:after="160" w:line="360" w:lineRule="auto"/>
        <w:rPr>
          <w:rFonts w:ascii="Book Antiqua" w:hAnsi="Book Antiqua"/>
        </w:rPr>
      </w:pPr>
      <w:r w:rsidRPr="005A5283">
        <w:rPr>
          <w:rFonts w:ascii="Book Antiqua" w:eastAsia="Times New Roman" w:hAnsi="Book Antiqua"/>
          <w:b/>
          <w:bCs/>
        </w:rPr>
        <w:t xml:space="preserve">(a) Algorithm identification. </w:t>
      </w:r>
      <w:r w:rsidRPr="005A5283">
        <w:rPr>
          <w:rFonts w:ascii="Book Antiqua" w:eastAsia="Times New Roman" w:hAnsi="Book Antiqua"/>
        </w:rPr>
        <w:t xml:space="preserve">We apologize for this omission. The feature importance rankings were generated using [to be filled: e.g., Random Forest with scikit-learn v1.X, using 1,000 trees, </w:t>
      </w:r>
      <w:proofErr w:type="spellStart"/>
      <w:r w:rsidRPr="005A5283">
        <w:rPr>
          <w:rFonts w:ascii="Book Antiqua" w:eastAsia="Times New Roman" w:hAnsi="Book Antiqua"/>
        </w:rPr>
        <w:t>max_depth</w:t>
      </w:r>
      <w:proofErr w:type="spellEnd"/>
      <w:r w:rsidRPr="005A5283">
        <w:rPr>
          <w:rFonts w:ascii="Book Antiqua" w:eastAsia="Times New Roman" w:hAnsi="Book Antiqua"/>
        </w:rPr>
        <w:t xml:space="preserve"> = None, and default hyperparameters; or permutation importance; or SHAP values with </w:t>
      </w:r>
      <w:proofErr w:type="spellStart"/>
      <w:r w:rsidRPr="005A5283">
        <w:rPr>
          <w:rFonts w:ascii="Book Antiqua" w:eastAsia="Times New Roman" w:hAnsi="Book Antiqua"/>
        </w:rPr>
        <w:t>XGBoost</w:t>
      </w:r>
      <w:proofErr w:type="spellEnd"/>
      <w:r w:rsidRPr="005A5283">
        <w:rPr>
          <w:rFonts w:ascii="Book Antiqua" w:eastAsia="Times New Roman" w:hAnsi="Book Antiqua"/>
        </w:rPr>
        <w:t>]. This information has been added to the Methods section, along with a brief justification for the choice of algorithm and its key hyperparameter settings.</w:t>
      </w:r>
    </w:p>
    <w:p w14:paraId="05ECC9A6" w14:textId="77777777" w:rsidR="005150AD" w:rsidRPr="005A5283" w:rsidRDefault="00000000">
      <w:pPr>
        <w:spacing w:after="160" w:line="360" w:lineRule="auto"/>
        <w:rPr>
          <w:rFonts w:ascii="Book Antiqua" w:hAnsi="Book Antiqua"/>
        </w:rPr>
      </w:pPr>
      <w:r w:rsidRPr="005A5283">
        <w:rPr>
          <w:rFonts w:ascii="Book Antiqua" w:eastAsia="Times New Roman" w:hAnsi="Book Antiqua"/>
          <w:b/>
          <w:bCs/>
        </w:rPr>
        <w:t xml:space="preserve">(b) Uncertainty reporting. </w:t>
      </w:r>
      <w:r w:rsidRPr="005A5283">
        <w:rPr>
          <w:rFonts w:ascii="Book Antiqua" w:eastAsia="Times New Roman" w:hAnsi="Book Antiqua"/>
        </w:rPr>
        <w:t>Table 2 has been revised to include standard errors for all feature importance values. [If Random Forest was used: Standard errors were computed via bootstrap resampling of the 1,000 simulation runs, with 1,000 bootstrap replications per parameter configuration. If permutation importance was used: Standard deviations were computed across 100 permutation iterations.] The revised Table 2 now reports each feature importance value as “point estimate ± standard error.”</w:t>
      </w:r>
    </w:p>
    <w:p w14:paraId="68009A6D" w14:textId="77777777" w:rsidR="005150AD" w:rsidRPr="005A5283" w:rsidRDefault="00000000">
      <w:pPr>
        <w:spacing w:after="160" w:line="360" w:lineRule="auto"/>
        <w:rPr>
          <w:rFonts w:ascii="Book Antiqua" w:hAnsi="Book Antiqua"/>
        </w:rPr>
      </w:pPr>
      <w:r w:rsidRPr="005A5283">
        <w:rPr>
          <w:rFonts w:ascii="Book Antiqua" w:eastAsia="Times New Roman" w:hAnsi="Book Antiqua"/>
          <w:b/>
          <w:bCs/>
        </w:rPr>
        <w:t xml:space="preserve">(c) Data alignment verification. </w:t>
      </w:r>
      <w:r w:rsidRPr="005A5283">
        <w:rPr>
          <w:rFonts w:ascii="Book Antiqua" w:eastAsia="Times New Roman" w:hAnsi="Book Antiqua"/>
        </w:rPr>
        <w:t xml:space="preserve">We have re-examined the original analysis scripts and output files to verify the data alignment in the “All” row. [If an error is found: We confirm that a permutation error existed in the original Table 2—the “All” row values were inadvertently shifted by one column. This has been corrected in the revised table. We sincerely apologize for this error. / If no error is found: Upon re-verification, we confirm that the “All” row values are </w:t>
      </w:r>
      <w:r w:rsidRPr="005A5283">
        <w:rPr>
          <w:rFonts w:ascii="Book Antiqua" w:eastAsia="Times New Roman" w:hAnsi="Book Antiqua"/>
        </w:rPr>
        <w:lastRenderedPageBreak/>
        <w:t>correct. The “All” row represents feature importance computed on the pooled dataset combining all four network topologies (4 × 1,000 = 4,000 runs), rather than an average of the four individual network columns. This explains the apparent discrepancy, as pooling alters the relative importance rankings when network-specific effects are absorbed. We have added an explanatory footnote to Table 2 to clarify this computation.]</w:t>
      </w:r>
    </w:p>
    <w:p w14:paraId="7A313F7B"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(Section 4.4 / Methods): </w:t>
      </w:r>
      <w:r w:rsidRPr="005A5283">
        <w:rPr>
          <w:rFonts w:ascii="Book Antiqua" w:eastAsia="Times New Roman" w:hAnsi="Book Antiqua"/>
        </w:rPr>
        <w:t>"Feature importance was assessed using [algorithm name, version, and key hyperparameters]. For each network topology, the 1,000 simulation runs were used as the training set, with the five model parameters as input features and GSI as the response variable. Standard errors were estimated via [bootstrap / permutation] with [N] replications. The ‘All’ configuration pools data from all four network topologies (4,000 observations) and recomputes importance on the combined dataset."</w:t>
      </w:r>
    </w:p>
    <w:p w14:paraId="4E5D4380"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(Table 2): </w:t>
      </w:r>
      <w:r w:rsidRPr="005A5283">
        <w:rPr>
          <w:rFonts w:ascii="Book Antiqua" w:eastAsia="Times New Roman" w:hAnsi="Book Antiqua"/>
        </w:rPr>
        <w:t>All feature importance values now include standard errors (e.g., "0.42 ± 0.03"). A footnote clarifies: "The ‘All’ row reports feature importance computed on the pooled dataset of all four network topologies, not the arithmetic mean of individual network columns." [If alignment error confirmed: "The original Table 2 contained a column alignment error in the ‘All’ row, which has been corrected."]</w:t>
      </w:r>
    </w:p>
    <w:p w14:paraId="6AF35C0A" w14:textId="77777777" w:rsidR="005150AD" w:rsidRPr="005A5283" w:rsidRDefault="005150AD">
      <w:pPr>
        <w:pBdr>
          <w:bottom w:val="single" w:sz="1" w:space="0" w:color="CCCCCC"/>
        </w:pBdr>
        <w:spacing w:before="120" w:after="120"/>
        <w:rPr>
          <w:rFonts w:ascii="Book Antiqua" w:hAnsi="Book Antiqua"/>
        </w:rPr>
      </w:pPr>
    </w:p>
    <w:p w14:paraId="151EE3F8" w14:textId="77777777" w:rsidR="005150AD" w:rsidRPr="005A5283" w:rsidRDefault="00000000">
      <w:pPr>
        <w:pStyle w:val="2"/>
        <w:rPr>
          <w:rFonts w:ascii="Book Antiqua" w:hAnsi="Book Antiqua"/>
        </w:rPr>
      </w:pPr>
      <w:r w:rsidRPr="005A5283">
        <w:rPr>
          <w:rFonts w:ascii="Book Antiqua" w:hAnsi="Book Antiqua"/>
        </w:rPr>
        <w:t>R2-5. Finite-Size Scaling Analysis</w:t>
      </w:r>
    </w:p>
    <w:p w14:paraId="5D1C7024"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The model runs with a fixed size of N=400 agents, which is a very small sample, especially in the analysis of cascades and phase transitions. To ensure that the observed “Best Game No One Played” phenomenon is a robust collective behavior and not a stochastic artifact of a small system, the authors should provide a finite-size scaling analysis (e.g., testing N=1000, 5000).</w:t>
      </w:r>
    </w:p>
    <w:p w14:paraId="2707071F"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We agree that establishing the robustness of the observed phenomena with respect to system size is essential. We have conducted a finite-size scaling analysis with N = 1,000 and N = 2,500 agents (in addition to the original N = 400), reported in a new subsection (Section 4.X, “Finite-Size Scaling Analysis”).</w:t>
      </w:r>
    </w:p>
    <w:p w14:paraId="53A8F545"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 xml:space="preserve">Implementation details: For non-scale-free networks (regular lattice, small-world, random), the agent population is determined by the NetLogo world dimensions. We expanded the world to approximately 32 × 32 = 1,024 agents (rounded to N = 1,024) and 50 × 50 = 2,500 agents. For </w:t>
      </w:r>
      <w:r w:rsidRPr="005A5283">
        <w:rPr>
          <w:rFonts w:ascii="Book Antiqua" w:eastAsia="Times New Roman" w:hAnsi="Book Antiqua"/>
        </w:rPr>
        <w:lastRenderedPageBreak/>
        <w:t>scale-free networks, we modified the network construction algorithm to generate N = 1,000 and N = 2,500 nodes while maintaining the same average degree. We selected the representative parameter configurations used in Figures 4, 5, and 6 (corresponding to “favorable reviews and good sales,” “favorable reviews but poor sales,” and “identical initial conditions with divergent outcomes”) and ran 200 simulations per configuration at each system size.</w:t>
      </w:r>
    </w:p>
    <w:p w14:paraId="13D63D13"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[Results to be filled after running simulations. Expected finding: The “best game no one played” phenomenon—high FRI coexisting with low GSI—persists at all tested system sizes, with the proportion of simulation runs exhibiting this pattern converging to a stable value as N increases. GSI variance decreases with N, consistent with the law of large numbers, but the qualitative phenomenon remains robust. The sensitivity analysis rankings (avg-of-thresholds as the most influential parameter) are also preserved across system sizes.]</w:t>
      </w:r>
    </w:p>
    <w:p w14:paraId="1CF1AFB0"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(new Section 4.X): </w:t>
      </w:r>
      <w:r w:rsidRPr="005A5283">
        <w:rPr>
          <w:rFonts w:ascii="Book Antiqua" w:eastAsia="Times New Roman" w:hAnsi="Book Antiqua"/>
        </w:rPr>
        <w:t>"Finite-Size Scaling Analysis. To verify that the ‘best game no one played’ phenomenon is a robust collective behavior rather than a stochastic artifact of the small system size (N = 400), we conducted additional simulations at N = 1,000 and N = 2,500. [...] Figure X shows the mean and standard deviation of GSI as a function of N for the representative parameter configurations. The results demonstrate that (1) the phenomenon persists at all tested system sizes; (2) GSI variance decreases with increasing N, as expected; and (3) the parameter importance rankings remain stable across system sizes, with avg-of-thresholds maintaining its dominant role (Table SX). These findings confirm that the main results reported in this study are not artifacts of the N = 400 system size."</w:t>
      </w:r>
    </w:p>
    <w:p w14:paraId="7EEDA5BC" w14:textId="77777777" w:rsidR="005150AD" w:rsidRPr="005A5283" w:rsidRDefault="005150AD">
      <w:pPr>
        <w:pBdr>
          <w:bottom w:val="single" w:sz="1" w:space="0" w:color="CCCCCC"/>
        </w:pBdr>
        <w:spacing w:before="120" w:after="120"/>
        <w:rPr>
          <w:rFonts w:ascii="Book Antiqua" w:hAnsi="Book Antiqua"/>
        </w:rPr>
      </w:pPr>
    </w:p>
    <w:p w14:paraId="7DFC2357" w14:textId="77777777" w:rsidR="005150AD" w:rsidRPr="005A5283" w:rsidRDefault="00000000">
      <w:pPr>
        <w:pStyle w:val="2"/>
        <w:rPr>
          <w:rFonts w:ascii="Book Antiqua" w:hAnsi="Book Antiqua"/>
        </w:rPr>
      </w:pPr>
      <w:r w:rsidRPr="005A5283">
        <w:rPr>
          <w:rFonts w:ascii="Book Antiqua" w:hAnsi="Book Antiqua"/>
        </w:rPr>
        <w:t>R2-6. Operational Definition of Critical Mass</w:t>
      </w:r>
    </w:p>
    <w:p w14:paraId="4CE4BF29"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The authors frequently invoke “Critical Mass” (e.g., citing a value of 48 agents in Fig 6a) but fail to provide an operational definition within the model’s formal structure. It is unclear if these values are analytically derived or post hoc observations. The authors should define how “Critical Mass” is computed within the BCAT framework and whether it represents a first or second order phase transition in the adoption density.</w:t>
      </w:r>
    </w:p>
    <w:p w14:paraId="7E8659CA"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 xml:space="preserve">We thank the reviewer for this important methodological point. In the original manuscript, the term “critical mass” was used informally without a precise operational definition within the </w:t>
      </w:r>
      <w:r w:rsidRPr="005A5283">
        <w:rPr>
          <w:rFonts w:ascii="Book Antiqua" w:eastAsia="Times New Roman" w:hAnsi="Book Antiqua"/>
        </w:rPr>
        <w:lastRenderedPageBreak/>
        <w:t>BCAT framework. We have now provided an explicit definition and clarified its computational basis.</w:t>
      </w:r>
    </w:p>
    <w:p w14:paraId="032F88AE"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 xml:space="preserve">In the BCAT implementation, the </w:t>
      </w:r>
      <w:r w:rsidRPr="005A5283">
        <w:rPr>
          <w:rFonts w:ascii="Book Antiqua" w:eastAsia="Times New Roman" w:hAnsi="Book Antiqua"/>
          <w:b/>
          <w:bCs/>
        </w:rPr>
        <w:t>critical point</w:t>
      </w:r>
      <w:r w:rsidRPr="005A5283">
        <w:rPr>
          <w:rFonts w:ascii="Book Antiqua" w:eastAsia="Times New Roman" w:hAnsi="Book Antiqua"/>
        </w:rPr>
        <w:t xml:space="preserve"> is operationally defined as the first time step t* at which the number of adopters exceeds the number of non-adopters—i.e., the first t such that |{i : </w:t>
      </w:r>
      <w:proofErr w:type="spellStart"/>
      <w:r w:rsidRPr="005A5283">
        <w:rPr>
          <w:rFonts w:ascii="Book Antiqua" w:eastAsia="Times New Roman" w:hAnsi="Book Antiqua"/>
        </w:rPr>
        <w:t>act_i</w:t>
      </w:r>
      <w:proofErr w:type="spellEnd"/>
      <w:r w:rsidRPr="005A5283">
        <w:rPr>
          <w:rFonts w:ascii="Book Antiqua" w:eastAsia="Times New Roman" w:hAnsi="Book Antiqua"/>
        </w:rPr>
        <w:t xml:space="preserve"> = true}| &gt; N/2. The </w:t>
      </w:r>
      <w:r w:rsidRPr="005A5283">
        <w:rPr>
          <w:rFonts w:ascii="Book Antiqua" w:eastAsia="Times New Roman" w:hAnsi="Book Antiqua"/>
          <w:b/>
          <w:bCs/>
        </w:rPr>
        <w:t>critical mass</w:t>
      </w:r>
      <w:r w:rsidRPr="005A5283">
        <w:rPr>
          <w:rFonts w:ascii="Book Antiqua" w:eastAsia="Times New Roman" w:hAnsi="Book Antiqua"/>
        </w:rPr>
        <w:t xml:space="preserve"> is correspondingly defined as the number of adopters at the time step immediately preceding the critical point: M* = |{i : </w:t>
      </w:r>
      <w:proofErr w:type="spellStart"/>
      <w:r w:rsidRPr="005A5283">
        <w:rPr>
          <w:rFonts w:ascii="Book Antiqua" w:eastAsia="Times New Roman" w:hAnsi="Book Antiqua"/>
        </w:rPr>
        <w:t>act_i</w:t>
      </w:r>
      <w:proofErr w:type="spellEnd"/>
      <w:r w:rsidRPr="005A5283">
        <w:rPr>
          <w:rFonts w:ascii="Book Antiqua" w:eastAsia="Times New Roman" w:hAnsi="Book Antiqua"/>
        </w:rPr>
        <w:t>(t*−1) = true}|. This is a post hoc observational measure derived from the simulation trajectory, not an analytically derived quantity.</w:t>
      </w:r>
    </w:p>
    <w:p w14:paraId="519B3D12"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Regarding the phase transition characterization, we have added analysis of how the final adoption rate (GSI) varies as a function of the control parameter avg-of-thresholds. If the transition from low to high GSI is abrupt (discontinuous jump as the parameter crosses a critical value), this is indicative of a first-order-like transition; if the transition is continuous but with increasing steepness as N grows, it suggests a second-order-like transition. [Results to be filled: We examine this by plotting GSI vs. avg-of-thresholds curves for N = 400, 1,000, and 2,500 and characterizing the transition shape.] This analysis is presented in conjunction with the finite-size scaling results (Section 4.X).</w:t>
      </w:r>
    </w:p>
    <w:p w14:paraId="4B82CEC8"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(Section 3, new definition): </w:t>
      </w:r>
      <w:r w:rsidRPr="005A5283">
        <w:rPr>
          <w:rFonts w:ascii="Book Antiqua" w:eastAsia="Times New Roman" w:hAnsi="Book Antiqua"/>
        </w:rPr>
        <w:t xml:space="preserve">"We define two related concepts from critical mass theory (Oliver et al., 1985). The critical point t* is the first time step at which adopters outnumber non-adopters: t* = min{t : |{i : </w:t>
      </w:r>
      <w:proofErr w:type="spellStart"/>
      <w:r w:rsidRPr="005A5283">
        <w:rPr>
          <w:rFonts w:ascii="Book Antiqua" w:eastAsia="Times New Roman" w:hAnsi="Book Antiqua"/>
        </w:rPr>
        <w:t>act_i</w:t>
      </w:r>
      <w:proofErr w:type="spellEnd"/>
      <w:r w:rsidRPr="005A5283">
        <w:rPr>
          <w:rFonts w:ascii="Book Antiqua" w:eastAsia="Times New Roman" w:hAnsi="Book Antiqua"/>
        </w:rPr>
        <w:t xml:space="preserve">(t) = true}| &gt; N/2}. The critical mass M* is the number of adopters at the time step immediately preceding the critical point: M* = |{i : </w:t>
      </w:r>
      <w:proofErr w:type="spellStart"/>
      <w:r w:rsidRPr="005A5283">
        <w:rPr>
          <w:rFonts w:ascii="Book Antiqua" w:eastAsia="Times New Roman" w:hAnsi="Book Antiqua"/>
        </w:rPr>
        <w:t>act_i</w:t>
      </w:r>
      <w:proofErr w:type="spellEnd"/>
      <w:r w:rsidRPr="005A5283">
        <w:rPr>
          <w:rFonts w:ascii="Book Antiqua" w:eastAsia="Times New Roman" w:hAnsi="Book Antiqua"/>
        </w:rPr>
        <w:t>(t*−1) = true}|. Both quantities are post hoc observational measures derived from simulation trajectories. When the critical point is not reached (adoption never exceeds 50%), we record t* = ∞ and M* as undefined, indicating that the system has failed to achieve self-sustaining adoption cascades."</w:t>
      </w:r>
    </w:p>
    <w:p w14:paraId="7443A712"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(Section 4.X, phase transition analysis): </w:t>
      </w:r>
      <w:r w:rsidRPr="005A5283">
        <w:rPr>
          <w:rFonts w:ascii="Book Antiqua" w:eastAsia="Times New Roman" w:hAnsi="Book Antiqua"/>
        </w:rPr>
        <w:t>"To characterize the nature of the adoption transition, we plot the final adoption rate (GSI) as a function of avg-of-thresholds for three system sizes (N = 400, 1,000, 2,500). [Results and interpretation.] These curves reveal [first-order / second-order / crossover] behavior, suggesting that the BCAT adoption transition is best characterized as [description]."</w:t>
      </w:r>
    </w:p>
    <w:p w14:paraId="626D4444" w14:textId="77777777" w:rsidR="005150AD" w:rsidRPr="005A5283" w:rsidRDefault="005150AD">
      <w:pPr>
        <w:pBdr>
          <w:bottom w:val="single" w:sz="1" w:space="0" w:color="CCCCCC"/>
        </w:pBdr>
        <w:spacing w:before="120" w:after="120"/>
        <w:rPr>
          <w:rFonts w:ascii="Book Antiqua" w:hAnsi="Book Antiqua"/>
        </w:rPr>
      </w:pPr>
    </w:p>
    <w:p w14:paraId="14E0BFBE" w14:textId="77777777" w:rsidR="005150AD" w:rsidRPr="005A5283" w:rsidRDefault="00000000">
      <w:pPr>
        <w:pStyle w:val="2"/>
        <w:rPr>
          <w:rFonts w:ascii="Book Antiqua" w:hAnsi="Book Antiqua"/>
        </w:rPr>
      </w:pPr>
      <w:r w:rsidRPr="005A5283">
        <w:rPr>
          <w:rFonts w:ascii="Book Antiqua" w:hAnsi="Book Antiqua"/>
        </w:rPr>
        <w:lastRenderedPageBreak/>
        <w:t>R2-7. Real-World Cases and Comparison with Alternative Coupled Models</w:t>
      </w:r>
    </w:p>
    <w:p w14:paraId="0D28AA1A"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The real-world cases (Palm, Taiwanese cinema) are used only as anecdotal motivation. The authors should explicitly discuss the limitations of mapping the 1–100 attitude scale to real-world consumer data. Furthermore, they should briefly compare BCAT’s quantitative behavior with existing coupled models (e.g., voter models with inertia or modified SIS/SIR frameworks).</w:t>
      </w:r>
    </w:p>
    <w:p w14:paraId="6C126542"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The first part of this comment—regarding real-world cases and the limitations of the attitude scale—is addressed in our response to R1-3, where we describe the new Section 5.1 that revisits the motivating cases with qualitative parameter mappings and candidly discusses the abstraction limitations of the 1–100 attitude scale.</w:t>
      </w:r>
    </w:p>
    <w:p w14:paraId="18C38F90"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Regarding the comparison with alternative coupled models, we have added a paragraph in Section 5.2 that contrasts BCAT’s behavioral characteristics with voter models with inertia and SIS/SIR epidemic frameworks:</w:t>
      </w:r>
    </w:p>
    <w:p w14:paraId="21674116" w14:textId="77777777" w:rsidR="005150AD" w:rsidRPr="005A5283" w:rsidRDefault="00000000">
      <w:pPr>
        <w:spacing w:after="160" w:line="360" w:lineRule="auto"/>
        <w:rPr>
          <w:rFonts w:ascii="Book Antiqua" w:hAnsi="Book Antiqua"/>
        </w:rPr>
      </w:pPr>
      <w:r w:rsidRPr="005A5283">
        <w:rPr>
          <w:rFonts w:ascii="Book Antiqua" w:eastAsia="Times New Roman" w:hAnsi="Book Antiqua"/>
          <w:b/>
          <w:bCs/>
        </w:rPr>
        <w:t xml:space="preserve">Voter models with inertia </w:t>
      </w:r>
      <w:r w:rsidRPr="005A5283">
        <w:rPr>
          <w:rFonts w:ascii="Book Antiqua" w:eastAsia="Times New Roman" w:hAnsi="Book Antiqua"/>
        </w:rPr>
        <w:t>(e.g., the constrained voter model of Stark et al., 2008) introduce a persistence parameter that makes agents less likely to switch opinions, generating longer consensus times and metastable states. However, voter models operate on binary state spaces (adopt/not-adopt or pro/con), which cannot represent the continuous spectrum of attitude intensity that is central to the “best game no one played” phenomenon. In BCAT, two agents may both hold positive attitudes (e.g., att = 55 and att = 90) yet differ substantially in their proximity to the adoption eligibility threshold, a distinction that binary models cannot capture.</w:t>
      </w:r>
    </w:p>
    <w:p w14:paraId="11389E32" w14:textId="77777777" w:rsidR="005150AD" w:rsidRPr="005A5283" w:rsidRDefault="00000000">
      <w:pPr>
        <w:spacing w:after="160" w:line="360" w:lineRule="auto"/>
        <w:rPr>
          <w:rFonts w:ascii="Book Antiqua" w:hAnsi="Book Antiqua"/>
        </w:rPr>
      </w:pPr>
      <w:r w:rsidRPr="005A5283">
        <w:rPr>
          <w:rFonts w:ascii="Book Antiqua" w:eastAsia="Times New Roman" w:hAnsi="Book Antiqua"/>
          <w:b/>
          <w:bCs/>
        </w:rPr>
        <w:t xml:space="preserve">SIS/SIR epidemic frameworks </w:t>
      </w:r>
      <w:r w:rsidRPr="005A5283">
        <w:rPr>
          <w:rFonts w:ascii="Book Antiqua" w:eastAsia="Times New Roman" w:hAnsi="Book Antiqua"/>
        </w:rPr>
        <w:t>model adoption as a contagion process where contact with an adopter probabilistically “infects” non-adopters. While these models naturally generate S-shaped adoption curves and can incorporate heterogeneous transmission rates, they fundamentally lack an attitude layer: any susceptible agent who contacts an adopter may adopt with some probability, regardless of their private attitude. The BCAT model, by contrast, decouples attitude formation from the adoption decision, requiring both a positive attitude and sufficient neighbor adoption as independent preconditions. This two-layer structure is what enables the model’s signature finding: the coexistence of favorable attitudes with failed adoption—a phenomenon that SIS/SIR models cannot produce by construction, since in those frameworks, high “exposure” (analogous to positive local attitudes) mechanically leads to high adoption.</w:t>
      </w:r>
    </w:p>
    <w:p w14:paraId="4419964B"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lastRenderedPageBreak/>
        <w:t xml:space="preserve">Manuscript change (Section 5.2, additional paragraphs): </w:t>
      </w:r>
      <w:r w:rsidRPr="005A5283">
        <w:rPr>
          <w:rFonts w:ascii="Book Antiqua" w:eastAsia="Times New Roman" w:hAnsi="Book Antiqua"/>
        </w:rPr>
        <w:t>"We further distinguish BCAT from two classes of coupled dynamical models. Voter models with inertia (Stark et al., 2008) generate metastable heterogeneous states but operate on binary opinion spaces, precluding the continuous attitude variation that allows BCAT to capture nuanced scenarios where agents hold positive but insufficiently strong attitudes. SIS/SIR epidemic frameworks treat adoption as a probabilistic contagion process without an independent attitude layer; any contact with an adopter may trigger adoption regardless of private sentiment. By contrast, BCAT’s two-layer architecture—requiring both positive attitude and sufficient neighbor adoption—enables the emergence of the opinion–adoption gap, a phenomenon structurally absent from single-layer contagion models."</w:t>
      </w:r>
    </w:p>
    <w:p w14:paraId="24A78294" w14:textId="77777777" w:rsidR="005150AD" w:rsidRPr="005A5283" w:rsidRDefault="005150AD">
      <w:pPr>
        <w:pBdr>
          <w:bottom w:val="single" w:sz="1" w:space="0" w:color="CCCCCC"/>
        </w:pBdr>
        <w:spacing w:before="120" w:after="120"/>
        <w:rPr>
          <w:rFonts w:ascii="Book Antiqua" w:hAnsi="Book Antiqua"/>
        </w:rPr>
      </w:pPr>
    </w:p>
    <w:p w14:paraId="49493E9B" w14:textId="77777777" w:rsidR="005150AD" w:rsidRPr="005A5283" w:rsidRDefault="00000000">
      <w:pPr>
        <w:pStyle w:val="2"/>
        <w:rPr>
          <w:rFonts w:ascii="Book Antiqua" w:hAnsi="Book Antiqua"/>
        </w:rPr>
      </w:pPr>
      <w:r w:rsidRPr="005A5283">
        <w:rPr>
          <w:rFonts w:ascii="Book Antiqua" w:hAnsi="Book Antiqua"/>
        </w:rPr>
        <w:t>R2-8. Reference Error: Gong et al. (2020)</w:t>
      </w:r>
    </w:p>
    <w:p w14:paraId="19F3AE28" w14:textId="77777777" w:rsidR="005150AD" w:rsidRPr="005A5283" w:rsidRDefault="00000000">
      <w:pPr>
        <w:pBdr>
          <w:left w:val="single" w:sz="3" w:space="8" w:color="808080"/>
        </w:pBdr>
        <w:spacing w:after="160" w:line="360" w:lineRule="auto"/>
        <w:ind w:left="480"/>
        <w:rPr>
          <w:rFonts w:ascii="Book Antiqua" w:hAnsi="Book Antiqua"/>
        </w:rPr>
      </w:pPr>
      <w:r w:rsidRPr="005A5283">
        <w:rPr>
          <w:rFonts w:ascii="Book Antiqua" w:eastAsia="Times New Roman" w:hAnsi="Book Antiqua"/>
          <w:i/>
          <w:iCs/>
          <w:color w:val="404040"/>
        </w:rPr>
        <w:t>Reference “Gong et al. (2020)” has a mistake. The title field contains a fragment of a footnote regarding NetLogo source code modification. Correct or replace this bibliographic entry.</w:t>
      </w:r>
    </w:p>
    <w:p w14:paraId="346CF2F3"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As noted in our response to R1-Minor, this error has been corrected. The title field was inadvertently overwritten by a code-related footnote during manuscript preparation. The corrected reference entry now contains the verified title and complete bibliographic information.</w:t>
      </w:r>
    </w:p>
    <w:p w14:paraId="52B11384" w14:textId="77777777" w:rsidR="005150AD" w:rsidRPr="005A5283" w:rsidRDefault="00000000">
      <w:pPr>
        <w:pBdr>
          <w:left w:val="single" w:sz="3" w:space="8" w:color="2E75B6"/>
        </w:pBdr>
        <w:spacing w:after="160" w:line="360" w:lineRule="auto"/>
        <w:ind w:left="480"/>
        <w:rPr>
          <w:rFonts w:ascii="Book Antiqua" w:hAnsi="Book Antiqua"/>
        </w:rPr>
      </w:pPr>
      <w:r w:rsidRPr="005A5283">
        <w:rPr>
          <w:rFonts w:ascii="Book Antiqua" w:eastAsia="Times New Roman" w:hAnsi="Book Antiqua"/>
          <w:b/>
          <w:bCs/>
          <w:color w:val="2E75B6"/>
        </w:rPr>
        <w:t xml:space="preserve">Manuscript change: </w:t>
      </w:r>
      <w:r w:rsidRPr="005A5283">
        <w:rPr>
          <w:rFonts w:ascii="Book Antiqua" w:eastAsia="Times New Roman" w:hAnsi="Book Antiqua"/>
        </w:rPr>
        <w:t>The reference entry for Gong et al. (2020) has been corrected. See response to R1-Minor for details.</w:t>
      </w:r>
    </w:p>
    <w:p w14:paraId="6E46947A" w14:textId="77777777" w:rsidR="005150AD" w:rsidRPr="005A5283" w:rsidRDefault="00000000">
      <w:pPr>
        <w:rPr>
          <w:rFonts w:ascii="Book Antiqua" w:hAnsi="Book Antiqua"/>
        </w:rPr>
      </w:pPr>
      <w:r w:rsidRPr="005A5283">
        <w:rPr>
          <w:rFonts w:ascii="Book Antiqua" w:hAnsi="Book Antiqua"/>
        </w:rPr>
        <w:br w:type="page"/>
      </w:r>
    </w:p>
    <w:p w14:paraId="24BB113F" w14:textId="77777777" w:rsidR="005150AD" w:rsidRPr="005A5283" w:rsidRDefault="00000000">
      <w:pPr>
        <w:pStyle w:val="1"/>
        <w:rPr>
          <w:rFonts w:ascii="Book Antiqua" w:hAnsi="Book Antiqua"/>
        </w:rPr>
      </w:pPr>
      <w:r w:rsidRPr="005A5283">
        <w:rPr>
          <w:rFonts w:ascii="Book Antiqua" w:hAnsi="Book Antiqua"/>
        </w:rPr>
        <w:lastRenderedPageBreak/>
        <w:t>Part IV: Summary of All Manuscript Changes</w:t>
      </w:r>
    </w:p>
    <w:p w14:paraId="37915A5B" w14:textId="77777777" w:rsidR="005150AD" w:rsidRPr="005A5283" w:rsidRDefault="00000000">
      <w:pPr>
        <w:spacing w:after="160" w:line="360" w:lineRule="auto"/>
        <w:rPr>
          <w:rFonts w:ascii="Book Antiqua" w:hAnsi="Book Antiqua"/>
        </w:rPr>
      </w:pPr>
      <w:r w:rsidRPr="005A5283">
        <w:rPr>
          <w:rFonts w:ascii="Book Antiqua" w:eastAsia="Times New Roman" w:hAnsi="Book Antiqua"/>
        </w:rPr>
        <w:t>For the convenience of the reviewers and the editor, we summarize below all structural and substantive changes made to the revised manuscript:</w:t>
      </w:r>
    </w:p>
    <w:p w14:paraId="5E441EF0" w14:textId="77777777" w:rsidR="005150AD" w:rsidRPr="005A5283" w:rsidRDefault="00000000">
      <w:pPr>
        <w:spacing w:after="120" w:line="340" w:lineRule="auto"/>
        <w:ind w:left="360" w:hanging="360"/>
        <w:rPr>
          <w:rFonts w:ascii="Book Antiqua" w:hAnsi="Book Antiqua"/>
        </w:rPr>
      </w:pPr>
      <w:r w:rsidRPr="005A5283">
        <w:rPr>
          <w:rFonts w:ascii="Book Antiqua" w:eastAsia="Times New Roman" w:hAnsi="Book Antiqua"/>
          <w:b/>
          <w:bCs/>
        </w:rPr>
        <w:t xml:space="preserve">1. </w:t>
      </w:r>
      <w:r w:rsidRPr="005A5283">
        <w:rPr>
          <w:rFonts w:ascii="Book Antiqua" w:eastAsia="Times New Roman" w:hAnsi="Book Antiqua"/>
        </w:rPr>
        <w:t>New Section 3.1: Theoretical Rationale for Model Integration — articulating why bounded confidence is the natural complement to adoption thresholds, and identifying the bidirectional feedback loop as the model’s organic coupling mechanism. (Responding to R1-1)</w:t>
      </w:r>
    </w:p>
    <w:p w14:paraId="7663BAC5" w14:textId="77777777" w:rsidR="005150AD" w:rsidRPr="005A5283" w:rsidRDefault="00000000">
      <w:pPr>
        <w:spacing w:after="120" w:line="340" w:lineRule="auto"/>
        <w:ind w:left="360" w:hanging="360"/>
        <w:rPr>
          <w:rFonts w:ascii="Book Antiqua" w:hAnsi="Book Antiqua"/>
        </w:rPr>
      </w:pPr>
      <w:r w:rsidRPr="005A5283">
        <w:rPr>
          <w:rFonts w:ascii="Book Antiqua" w:eastAsia="Times New Roman" w:hAnsi="Book Antiqua"/>
          <w:b/>
          <w:bCs/>
        </w:rPr>
        <w:t xml:space="preserve">2. </w:t>
      </w:r>
      <w:r w:rsidRPr="005A5283">
        <w:rPr>
          <w:rFonts w:ascii="Book Antiqua" w:eastAsia="Times New Roman" w:hAnsi="Book Antiqua"/>
        </w:rPr>
        <w:t>Revised Section 2: Clarified the relationship between the BCAT opinion update mechanism and the HK and Deffuant models, with a new comparative table. (Responding to R2-1)</w:t>
      </w:r>
    </w:p>
    <w:p w14:paraId="6B0112BF" w14:textId="77777777" w:rsidR="005150AD" w:rsidRPr="005A5283" w:rsidRDefault="00000000">
      <w:pPr>
        <w:spacing w:after="120" w:line="340" w:lineRule="auto"/>
        <w:ind w:left="360" w:hanging="360"/>
        <w:rPr>
          <w:rFonts w:ascii="Book Antiqua" w:hAnsi="Book Antiqua"/>
        </w:rPr>
      </w:pPr>
      <w:r w:rsidRPr="005A5283">
        <w:rPr>
          <w:rFonts w:ascii="Book Antiqua" w:eastAsia="Times New Roman" w:hAnsi="Book Antiqua"/>
          <w:b/>
          <w:bCs/>
        </w:rPr>
        <w:t xml:space="preserve">3. </w:t>
      </w:r>
      <w:r w:rsidRPr="005A5283">
        <w:rPr>
          <w:rFonts w:ascii="Book Antiqua" w:eastAsia="Times New Roman" w:hAnsi="Book Antiqua"/>
        </w:rPr>
        <w:t>Revised Section 3 (Algorithm descriptions): Explicit specification of the pseudo-concurrent update scheme, threshold scaling conversion, and operational definitions of critical mass and critical point. (Responding to R2-2, R2-3, R2-6)</w:t>
      </w:r>
    </w:p>
    <w:p w14:paraId="23391AE8" w14:textId="77777777" w:rsidR="005150AD" w:rsidRPr="005A5283" w:rsidRDefault="00000000">
      <w:pPr>
        <w:spacing w:after="120" w:line="340" w:lineRule="auto"/>
        <w:ind w:left="360" w:hanging="360"/>
        <w:rPr>
          <w:rFonts w:ascii="Book Antiqua" w:hAnsi="Book Antiqua"/>
        </w:rPr>
      </w:pPr>
      <w:r w:rsidRPr="005A5283">
        <w:rPr>
          <w:rFonts w:ascii="Book Antiqua" w:eastAsia="Times New Roman" w:hAnsi="Book Antiqua"/>
          <w:b/>
          <w:bCs/>
        </w:rPr>
        <w:t xml:space="preserve">4. </w:t>
      </w:r>
      <w:r w:rsidRPr="005A5283">
        <w:rPr>
          <w:rFonts w:ascii="Book Antiqua" w:eastAsia="Times New Roman" w:hAnsi="Book Antiqua"/>
        </w:rPr>
        <w:t>New Section 4.X: Disentangling Coordination Failure and Opinion Clustering — controlled experiments isolating each mechanism channel. (Responding to R1-2)</w:t>
      </w:r>
    </w:p>
    <w:p w14:paraId="60C9F0F3" w14:textId="77777777" w:rsidR="005150AD" w:rsidRPr="005A5283" w:rsidRDefault="00000000">
      <w:pPr>
        <w:spacing w:after="120" w:line="340" w:lineRule="auto"/>
        <w:ind w:left="360" w:hanging="360"/>
        <w:rPr>
          <w:rFonts w:ascii="Book Antiqua" w:hAnsi="Book Antiqua"/>
        </w:rPr>
      </w:pPr>
      <w:r w:rsidRPr="005A5283">
        <w:rPr>
          <w:rFonts w:ascii="Book Antiqua" w:eastAsia="Times New Roman" w:hAnsi="Book Antiqua"/>
          <w:b/>
          <w:bCs/>
        </w:rPr>
        <w:t xml:space="preserve">5. </w:t>
      </w:r>
      <w:r w:rsidRPr="005A5283">
        <w:rPr>
          <w:rFonts w:ascii="Book Antiqua" w:eastAsia="Times New Roman" w:hAnsi="Book Antiqua"/>
        </w:rPr>
        <w:t>New Section 4.X: Finite-Size Scaling Analysis — simulations at N = 1,000 and N = 2,500 confirming robustness. (Responding to R2-5)</w:t>
      </w:r>
    </w:p>
    <w:p w14:paraId="3E2D7CBC" w14:textId="77777777" w:rsidR="005150AD" w:rsidRPr="005A5283" w:rsidRDefault="00000000">
      <w:pPr>
        <w:spacing w:after="120" w:line="340" w:lineRule="auto"/>
        <w:ind w:left="360" w:hanging="360"/>
        <w:rPr>
          <w:rFonts w:ascii="Book Antiqua" w:hAnsi="Book Antiqua"/>
        </w:rPr>
      </w:pPr>
      <w:r w:rsidRPr="005A5283">
        <w:rPr>
          <w:rFonts w:ascii="Book Antiqua" w:eastAsia="Times New Roman" w:hAnsi="Book Antiqua"/>
          <w:b/>
          <w:bCs/>
        </w:rPr>
        <w:t xml:space="preserve">6. </w:t>
      </w:r>
      <w:r w:rsidRPr="005A5283">
        <w:rPr>
          <w:rFonts w:ascii="Book Antiqua" w:eastAsia="Times New Roman" w:hAnsi="Book Antiqua"/>
        </w:rPr>
        <w:t>New Section 4.X: Robustness Check for Update Scheme — comparison of pseudo-concurrent and sequential updating. (Responding to R2-2)</w:t>
      </w:r>
    </w:p>
    <w:p w14:paraId="721705B2" w14:textId="77777777" w:rsidR="005150AD" w:rsidRPr="005A5283" w:rsidRDefault="00000000">
      <w:pPr>
        <w:spacing w:after="120" w:line="340" w:lineRule="auto"/>
        <w:ind w:left="360" w:hanging="360"/>
        <w:rPr>
          <w:rFonts w:ascii="Book Antiqua" w:hAnsi="Book Antiqua"/>
        </w:rPr>
      </w:pPr>
      <w:r w:rsidRPr="005A5283">
        <w:rPr>
          <w:rFonts w:ascii="Book Antiqua" w:eastAsia="Times New Roman" w:hAnsi="Book Antiqua"/>
          <w:b/>
          <w:bCs/>
        </w:rPr>
        <w:t xml:space="preserve">7. </w:t>
      </w:r>
      <w:r w:rsidRPr="005A5283">
        <w:rPr>
          <w:rFonts w:ascii="Book Antiqua" w:eastAsia="Times New Roman" w:hAnsi="Book Antiqua"/>
        </w:rPr>
        <w:t>Revised Table 2: Algorithm identification, standard errors, verified data alignment, and dual threshold scaling notation. (Responding to R2-4, R2-3)</w:t>
      </w:r>
    </w:p>
    <w:p w14:paraId="78426FDA" w14:textId="77777777" w:rsidR="005150AD" w:rsidRPr="005A5283" w:rsidRDefault="00000000">
      <w:pPr>
        <w:spacing w:after="120" w:line="340" w:lineRule="auto"/>
        <w:ind w:left="360" w:hanging="360"/>
        <w:rPr>
          <w:rFonts w:ascii="Book Antiqua" w:hAnsi="Book Antiqua"/>
        </w:rPr>
      </w:pPr>
      <w:r w:rsidRPr="005A5283">
        <w:rPr>
          <w:rFonts w:ascii="Book Antiqua" w:eastAsia="Times New Roman" w:hAnsi="Book Antiqua"/>
          <w:b/>
          <w:bCs/>
        </w:rPr>
        <w:t xml:space="preserve">8. </w:t>
      </w:r>
      <w:r w:rsidRPr="005A5283">
        <w:rPr>
          <w:rFonts w:ascii="Book Antiqua" w:eastAsia="Times New Roman" w:hAnsi="Book Antiqua"/>
        </w:rPr>
        <w:t>New Section 5.1: Mapping Simulation Results to Motivating Cases — qualitative parameter mappings for Palm, Taiwanese cinema, and SOA cases. (Responding to R1-3, R2-7)</w:t>
      </w:r>
    </w:p>
    <w:p w14:paraId="27C9F782" w14:textId="77777777" w:rsidR="005150AD" w:rsidRPr="005A5283" w:rsidRDefault="00000000">
      <w:pPr>
        <w:spacing w:after="120" w:line="340" w:lineRule="auto"/>
        <w:ind w:left="360" w:hanging="360"/>
        <w:rPr>
          <w:rFonts w:ascii="Book Antiqua" w:hAnsi="Book Antiqua"/>
        </w:rPr>
      </w:pPr>
      <w:r w:rsidRPr="005A5283">
        <w:rPr>
          <w:rFonts w:ascii="Book Antiqua" w:eastAsia="Times New Roman" w:hAnsi="Book Antiqua"/>
          <w:b/>
          <w:bCs/>
        </w:rPr>
        <w:t xml:space="preserve">9. </w:t>
      </w:r>
      <w:r w:rsidRPr="005A5283">
        <w:rPr>
          <w:rFonts w:ascii="Book Antiqua" w:eastAsia="Times New Roman" w:hAnsi="Book Antiqua"/>
        </w:rPr>
        <w:t>New Section 5.2: Alternative Explanations and Distinguishing Predictions — systematic comparison with information cascades, network externalities, global games, voter models, and SIS/SIR frameworks. (Responding to R1-4, R2-7)</w:t>
      </w:r>
    </w:p>
    <w:p w14:paraId="0A28ECB4" w14:textId="77777777" w:rsidR="005150AD" w:rsidRPr="005A5283" w:rsidRDefault="00000000">
      <w:pPr>
        <w:spacing w:after="120" w:line="340" w:lineRule="auto"/>
        <w:ind w:left="360" w:hanging="360"/>
        <w:rPr>
          <w:rFonts w:ascii="Book Antiqua" w:hAnsi="Book Antiqua"/>
        </w:rPr>
      </w:pPr>
      <w:r w:rsidRPr="005A5283">
        <w:rPr>
          <w:rFonts w:ascii="Book Antiqua" w:eastAsia="Times New Roman" w:hAnsi="Book Antiqua"/>
          <w:b/>
          <w:bCs/>
        </w:rPr>
        <w:t xml:space="preserve">10. </w:t>
      </w:r>
      <w:r w:rsidRPr="005A5283">
        <w:rPr>
          <w:rFonts w:ascii="Book Antiqua" w:eastAsia="Times New Roman" w:hAnsi="Book Antiqua"/>
        </w:rPr>
        <w:t>New Figure X: Mechanism decomposition plots showing contributions of coordination failure and opinion clustering channels. (Responding to R1-2)</w:t>
      </w:r>
    </w:p>
    <w:p w14:paraId="5F0D6AE3" w14:textId="77777777" w:rsidR="005150AD" w:rsidRPr="005A5283" w:rsidRDefault="00000000">
      <w:pPr>
        <w:spacing w:after="120" w:line="340" w:lineRule="auto"/>
        <w:ind w:left="360" w:hanging="360"/>
        <w:rPr>
          <w:rFonts w:ascii="Book Antiqua" w:hAnsi="Book Antiqua"/>
        </w:rPr>
      </w:pPr>
      <w:r w:rsidRPr="005A5283">
        <w:rPr>
          <w:rFonts w:ascii="Book Antiqua" w:eastAsia="Times New Roman" w:hAnsi="Book Antiqua"/>
          <w:b/>
          <w:bCs/>
        </w:rPr>
        <w:t xml:space="preserve">11. </w:t>
      </w:r>
      <w:r w:rsidRPr="005A5283">
        <w:rPr>
          <w:rFonts w:ascii="Book Antiqua" w:eastAsia="Times New Roman" w:hAnsi="Book Antiqua"/>
        </w:rPr>
        <w:t>New Figure X: Finite-size scaling results showing GSI convergence across system sizes. (Responding to R2-5)</w:t>
      </w:r>
    </w:p>
    <w:p w14:paraId="20CA7AD5" w14:textId="77777777" w:rsidR="005150AD" w:rsidRPr="005A5283" w:rsidRDefault="00000000">
      <w:pPr>
        <w:spacing w:after="120" w:line="340" w:lineRule="auto"/>
        <w:ind w:left="360" w:hanging="360"/>
        <w:rPr>
          <w:rFonts w:ascii="Book Antiqua" w:hAnsi="Book Antiqua"/>
        </w:rPr>
      </w:pPr>
      <w:r w:rsidRPr="005A5283">
        <w:rPr>
          <w:rFonts w:ascii="Book Antiqua" w:eastAsia="Times New Roman" w:hAnsi="Book Antiqua"/>
          <w:b/>
          <w:bCs/>
        </w:rPr>
        <w:t xml:space="preserve">12. </w:t>
      </w:r>
      <w:r w:rsidRPr="005A5283">
        <w:rPr>
          <w:rFonts w:ascii="Book Antiqua" w:eastAsia="Times New Roman" w:hAnsi="Book Antiqua"/>
        </w:rPr>
        <w:t xml:space="preserve">Replaced Figures 2, 4, 5, 6, 10, 11: NetLogo GUI screenshots replaced with author-generated </w:t>
      </w:r>
      <w:r w:rsidRPr="005A5283">
        <w:rPr>
          <w:rFonts w:ascii="Book Antiqua" w:eastAsia="Times New Roman" w:hAnsi="Book Antiqua"/>
        </w:rPr>
        <w:lastRenderedPageBreak/>
        <w:t>Python/matplotlib visualizations. (Responding to JR-5)</w:t>
      </w:r>
    </w:p>
    <w:p w14:paraId="12D6F43B" w14:textId="77777777" w:rsidR="005150AD" w:rsidRPr="005A5283" w:rsidRDefault="00000000">
      <w:pPr>
        <w:spacing w:after="120" w:line="340" w:lineRule="auto"/>
        <w:ind w:left="360" w:hanging="360"/>
        <w:rPr>
          <w:rFonts w:ascii="Book Antiqua" w:hAnsi="Book Antiqua"/>
        </w:rPr>
      </w:pPr>
      <w:r w:rsidRPr="005A5283">
        <w:rPr>
          <w:rFonts w:ascii="Book Antiqua" w:eastAsia="Times New Roman" w:hAnsi="Book Antiqua"/>
          <w:b/>
          <w:bCs/>
        </w:rPr>
        <w:t xml:space="preserve">13. </w:t>
      </w:r>
      <w:r w:rsidRPr="005A5283">
        <w:rPr>
          <w:rFonts w:ascii="Book Antiqua" w:eastAsia="Times New Roman" w:hAnsi="Book Antiqua"/>
        </w:rPr>
        <w:t>Corrected reference: Gong et al. (2020) bibliographic entry. (Responding to R1-Minor, R2-8)</w:t>
      </w:r>
    </w:p>
    <w:p w14:paraId="5B642D69" w14:textId="77777777" w:rsidR="005150AD" w:rsidRPr="005A5283" w:rsidRDefault="00000000">
      <w:pPr>
        <w:spacing w:after="120" w:line="340" w:lineRule="auto"/>
        <w:ind w:left="360" w:hanging="360"/>
        <w:rPr>
          <w:rFonts w:ascii="Book Antiqua" w:hAnsi="Book Antiqua"/>
        </w:rPr>
      </w:pPr>
      <w:r w:rsidRPr="005A5283">
        <w:rPr>
          <w:rFonts w:ascii="Book Antiqua" w:eastAsia="Times New Roman" w:hAnsi="Book Antiqua"/>
          <w:b/>
          <w:bCs/>
        </w:rPr>
        <w:t xml:space="preserve">14. </w:t>
      </w:r>
      <w:r w:rsidRPr="005A5283">
        <w:rPr>
          <w:rFonts w:ascii="Book Antiqua" w:eastAsia="Times New Roman" w:hAnsi="Book Antiqua"/>
        </w:rPr>
        <w:t>Added references: Banerjee (1992), Golub &amp; Jackson (2010, 2012), Cheng et al. (2026), Katz &amp; Shapiro (1985), Morris &amp; Shin (2003), Berenbrink et al. (2024). (Responding to JR-6)</w:t>
      </w:r>
    </w:p>
    <w:p w14:paraId="2D2EF4E8" w14:textId="77777777" w:rsidR="005150AD" w:rsidRPr="005A5283" w:rsidRDefault="00000000">
      <w:pPr>
        <w:spacing w:after="120" w:line="340" w:lineRule="auto"/>
        <w:ind w:left="360" w:hanging="360"/>
        <w:rPr>
          <w:rFonts w:ascii="Book Antiqua" w:hAnsi="Book Antiqua"/>
        </w:rPr>
      </w:pPr>
      <w:r w:rsidRPr="005A5283">
        <w:rPr>
          <w:rFonts w:ascii="Book Antiqua" w:eastAsia="Times New Roman" w:hAnsi="Book Antiqua"/>
          <w:b/>
          <w:bCs/>
        </w:rPr>
        <w:t xml:space="preserve">15. </w:t>
      </w:r>
      <w:r w:rsidRPr="005A5283">
        <w:rPr>
          <w:rFonts w:ascii="Book Antiqua" w:eastAsia="Times New Roman" w:hAnsi="Book Antiqua"/>
        </w:rPr>
        <w:t>LaTeX conversion: Entire manuscript reformatted using PLOS ONE LaTeX template. (Responding to JR-3)</w:t>
      </w:r>
    </w:p>
    <w:p w14:paraId="7D762100" w14:textId="77777777" w:rsidR="005150AD" w:rsidRPr="005A5283" w:rsidRDefault="00000000">
      <w:pPr>
        <w:spacing w:after="120" w:line="340" w:lineRule="auto"/>
        <w:ind w:left="360" w:hanging="360"/>
        <w:rPr>
          <w:rFonts w:ascii="Book Antiqua" w:hAnsi="Book Antiqua"/>
        </w:rPr>
      </w:pPr>
      <w:r w:rsidRPr="005A5283">
        <w:rPr>
          <w:rFonts w:ascii="Book Antiqua" w:eastAsia="Times New Roman" w:hAnsi="Book Antiqua"/>
          <w:b/>
          <w:bCs/>
        </w:rPr>
        <w:t xml:space="preserve">16. </w:t>
      </w:r>
      <w:r w:rsidRPr="005A5283">
        <w:rPr>
          <w:rFonts w:ascii="Book Antiqua" w:eastAsia="Times New Roman" w:hAnsi="Book Antiqua"/>
        </w:rPr>
        <w:t xml:space="preserve">Code and data: Public GitHub repository with </w:t>
      </w:r>
      <w:proofErr w:type="spellStart"/>
      <w:r w:rsidRPr="005A5283">
        <w:rPr>
          <w:rFonts w:ascii="Book Antiqua" w:eastAsia="Times New Roman" w:hAnsi="Book Antiqua"/>
        </w:rPr>
        <w:t>Zenodo</w:t>
      </w:r>
      <w:proofErr w:type="spellEnd"/>
      <w:r w:rsidRPr="005A5283">
        <w:rPr>
          <w:rFonts w:ascii="Book Antiqua" w:eastAsia="Times New Roman" w:hAnsi="Book Antiqua"/>
        </w:rPr>
        <w:t xml:space="preserve"> DOI; Supporting Information files S1–S4 with minimal data set. (Responding to JR-2, JR-4)</w:t>
      </w:r>
    </w:p>
    <w:sectPr w:rsidR="005150AD" w:rsidRPr="005A528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B0B9A"/>
    <w:multiLevelType w:val="hybridMultilevel"/>
    <w:tmpl w:val="8AC2DC6C"/>
    <w:lvl w:ilvl="0" w:tplc="04090001">
      <w:start w:val="1"/>
      <w:numFmt w:val="bullet"/>
      <w:lvlText w:val=""/>
      <w:lvlJc w:val="left"/>
      <w:pPr>
        <w:ind w:left="3360" w:hanging="480"/>
      </w:pPr>
      <w:rPr>
        <w:rFonts w:ascii="Wingdings" w:hAnsi="Wingdings" w:hint="default"/>
      </w:rPr>
    </w:lvl>
    <w:lvl w:ilvl="1" w:tplc="04090003" w:tentative="1">
      <w:start w:val="1"/>
      <w:numFmt w:val="bullet"/>
      <w:lvlText w:val=""/>
      <w:lvlJc w:val="left"/>
      <w:pPr>
        <w:ind w:left="3840" w:hanging="480"/>
      </w:pPr>
      <w:rPr>
        <w:rFonts w:ascii="Wingdings" w:hAnsi="Wingdings" w:hint="default"/>
      </w:rPr>
    </w:lvl>
    <w:lvl w:ilvl="2" w:tplc="04090005" w:tentative="1">
      <w:start w:val="1"/>
      <w:numFmt w:val="bullet"/>
      <w:lvlText w:val=""/>
      <w:lvlJc w:val="left"/>
      <w:pPr>
        <w:ind w:left="4320" w:hanging="480"/>
      </w:pPr>
      <w:rPr>
        <w:rFonts w:ascii="Wingdings" w:hAnsi="Wingdings" w:hint="default"/>
      </w:rPr>
    </w:lvl>
    <w:lvl w:ilvl="3" w:tplc="04090001" w:tentative="1">
      <w:start w:val="1"/>
      <w:numFmt w:val="bullet"/>
      <w:lvlText w:val=""/>
      <w:lvlJc w:val="left"/>
      <w:pPr>
        <w:ind w:left="4800" w:hanging="480"/>
      </w:pPr>
      <w:rPr>
        <w:rFonts w:ascii="Wingdings" w:hAnsi="Wingdings" w:hint="default"/>
      </w:rPr>
    </w:lvl>
    <w:lvl w:ilvl="4" w:tplc="04090003" w:tentative="1">
      <w:start w:val="1"/>
      <w:numFmt w:val="bullet"/>
      <w:lvlText w:val=""/>
      <w:lvlJc w:val="left"/>
      <w:pPr>
        <w:ind w:left="5280" w:hanging="480"/>
      </w:pPr>
      <w:rPr>
        <w:rFonts w:ascii="Wingdings" w:hAnsi="Wingdings" w:hint="default"/>
      </w:rPr>
    </w:lvl>
    <w:lvl w:ilvl="5" w:tplc="04090005" w:tentative="1">
      <w:start w:val="1"/>
      <w:numFmt w:val="bullet"/>
      <w:lvlText w:val=""/>
      <w:lvlJc w:val="left"/>
      <w:pPr>
        <w:ind w:left="5760" w:hanging="480"/>
      </w:pPr>
      <w:rPr>
        <w:rFonts w:ascii="Wingdings" w:hAnsi="Wingdings" w:hint="default"/>
      </w:rPr>
    </w:lvl>
    <w:lvl w:ilvl="6" w:tplc="04090001" w:tentative="1">
      <w:start w:val="1"/>
      <w:numFmt w:val="bullet"/>
      <w:lvlText w:val=""/>
      <w:lvlJc w:val="left"/>
      <w:pPr>
        <w:ind w:left="6240" w:hanging="480"/>
      </w:pPr>
      <w:rPr>
        <w:rFonts w:ascii="Wingdings" w:hAnsi="Wingdings" w:hint="default"/>
      </w:rPr>
    </w:lvl>
    <w:lvl w:ilvl="7" w:tplc="04090003" w:tentative="1">
      <w:start w:val="1"/>
      <w:numFmt w:val="bullet"/>
      <w:lvlText w:val=""/>
      <w:lvlJc w:val="left"/>
      <w:pPr>
        <w:ind w:left="6720" w:hanging="480"/>
      </w:pPr>
      <w:rPr>
        <w:rFonts w:ascii="Wingdings" w:hAnsi="Wingdings" w:hint="default"/>
      </w:rPr>
    </w:lvl>
    <w:lvl w:ilvl="8" w:tplc="04090005" w:tentative="1">
      <w:start w:val="1"/>
      <w:numFmt w:val="bullet"/>
      <w:lvlText w:val=""/>
      <w:lvlJc w:val="left"/>
      <w:pPr>
        <w:ind w:left="7200" w:hanging="480"/>
      </w:pPr>
      <w:rPr>
        <w:rFonts w:ascii="Wingdings" w:hAnsi="Wingdings" w:hint="default"/>
      </w:rPr>
    </w:lvl>
  </w:abstractNum>
  <w:abstractNum w:abstractNumId="1" w15:restartNumberingAfterBreak="0">
    <w:nsid w:val="3E4A4B1C"/>
    <w:multiLevelType w:val="hybridMultilevel"/>
    <w:tmpl w:val="5E00A028"/>
    <w:lvl w:ilvl="0" w:tplc="9B408624">
      <w:start w:val="1"/>
      <w:numFmt w:val="bullet"/>
      <w:lvlText w:val="●"/>
      <w:lvlJc w:val="left"/>
      <w:pPr>
        <w:ind w:left="720" w:hanging="360"/>
      </w:pPr>
    </w:lvl>
    <w:lvl w:ilvl="1" w:tplc="9C840CAE">
      <w:start w:val="1"/>
      <w:numFmt w:val="bullet"/>
      <w:lvlText w:val="○"/>
      <w:lvlJc w:val="left"/>
      <w:pPr>
        <w:ind w:left="1440" w:hanging="360"/>
      </w:pPr>
    </w:lvl>
    <w:lvl w:ilvl="2" w:tplc="AB3A7A62">
      <w:start w:val="1"/>
      <w:numFmt w:val="bullet"/>
      <w:lvlText w:val="■"/>
      <w:lvlJc w:val="left"/>
      <w:pPr>
        <w:ind w:left="2160" w:hanging="360"/>
      </w:pPr>
    </w:lvl>
    <w:lvl w:ilvl="3" w:tplc="87E03C44">
      <w:start w:val="1"/>
      <w:numFmt w:val="bullet"/>
      <w:lvlText w:val="●"/>
      <w:lvlJc w:val="left"/>
      <w:pPr>
        <w:ind w:left="2880" w:hanging="360"/>
      </w:pPr>
    </w:lvl>
    <w:lvl w:ilvl="4" w:tplc="54E07CDE">
      <w:start w:val="1"/>
      <w:numFmt w:val="bullet"/>
      <w:lvlText w:val="○"/>
      <w:lvlJc w:val="left"/>
      <w:pPr>
        <w:ind w:left="3600" w:hanging="360"/>
      </w:pPr>
    </w:lvl>
    <w:lvl w:ilvl="5" w:tplc="B1CC6D96">
      <w:start w:val="1"/>
      <w:numFmt w:val="bullet"/>
      <w:lvlText w:val="■"/>
      <w:lvlJc w:val="left"/>
      <w:pPr>
        <w:ind w:left="4320" w:hanging="360"/>
      </w:pPr>
    </w:lvl>
    <w:lvl w:ilvl="6" w:tplc="AAAE55B6">
      <w:start w:val="1"/>
      <w:numFmt w:val="bullet"/>
      <w:lvlText w:val="●"/>
      <w:lvlJc w:val="left"/>
      <w:pPr>
        <w:ind w:left="5040" w:hanging="360"/>
      </w:pPr>
    </w:lvl>
    <w:lvl w:ilvl="7" w:tplc="8CD06EAA">
      <w:start w:val="1"/>
      <w:numFmt w:val="bullet"/>
      <w:lvlText w:val="●"/>
      <w:lvlJc w:val="left"/>
      <w:pPr>
        <w:ind w:left="5760" w:hanging="360"/>
      </w:pPr>
    </w:lvl>
    <w:lvl w:ilvl="8" w:tplc="FBEE9494">
      <w:start w:val="1"/>
      <w:numFmt w:val="bullet"/>
      <w:lvlText w:val="●"/>
      <w:lvlJc w:val="left"/>
      <w:pPr>
        <w:ind w:left="6480" w:hanging="360"/>
      </w:pPr>
    </w:lvl>
  </w:abstractNum>
  <w:abstractNum w:abstractNumId="2" w15:restartNumberingAfterBreak="0">
    <w:nsid w:val="6E2845BC"/>
    <w:multiLevelType w:val="hybridMultilevel"/>
    <w:tmpl w:val="EC8E84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71675B4C"/>
    <w:multiLevelType w:val="hybridMultilevel"/>
    <w:tmpl w:val="912CCA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304964174">
    <w:abstractNumId w:val="1"/>
    <w:lvlOverride w:ilvl="0">
      <w:startOverride w:val="1"/>
    </w:lvlOverride>
  </w:num>
  <w:num w:numId="2" w16cid:durableId="970214040">
    <w:abstractNumId w:val="3"/>
  </w:num>
  <w:num w:numId="3" w16cid:durableId="859903193">
    <w:abstractNumId w:val="2"/>
  </w:num>
  <w:num w:numId="4" w16cid:durableId="1457718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0AD"/>
    <w:rsid w:val="00267654"/>
    <w:rsid w:val="003D6BBA"/>
    <w:rsid w:val="004719BC"/>
    <w:rsid w:val="005150AD"/>
    <w:rsid w:val="005A5283"/>
    <w:rsid w:val="005C4F2C"/>
    <w:rsid w:val="00DC1EB5"/>
    <w:rsid w:val="00E8643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C26E9E8"/>
  <w15:docId w15:val="{914A3A77-3FC5-2349-995F-8439A4D2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Times New Roman"/>
      <w:b/>
      <w:bCs/>
      <w:sz w:val="28"/>
      <w:szCs w:val="28"/>
    </w:rPr>
  </w:style>
  <w:style w:type="paragraph" w:styleId="2">
    <w:name w:val="heading 2"/>
    <w:uiPriority w:val="9"/>
    <w:unhideWhenUsed/>
    <w:qFormat/>
    <w:pPr>
      <w:spacing w:before="300" w:after="160"/>
      <w:outlineLvl w:val="1"/>
    </w:pPr>
    <w:rPr>
      <w:rFonts w:eastAsia="Times New Roman"/>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Unresolved Mention"/>
    <w:basedOn w:val="a0"/>
    <w:uiPriority w:val="99"/>
    <w:semiHidden/>
    <w:unhideWhenUsed/>
    <w:rsid w:val="002676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28</Pages>
  <Words>8230</Words>
  <Characters>49877</Characters>
  <Application>Microsoft Office Word</Application>
  <DocSecurity>0</DocSecurity>
  <Lines>683</Lines>
  <Paragraphs>177</Paragraphs>
  <ScaleCrop>false</ScaleCrop>
  <Company/>
  <LinksUpToDate>false</LinksUpToDate>
  <CharactersWithSpaces>57930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黃崇源</cp:lastModifiedBy>
  <cp:revision>2</cp:revision>
  <dcterms:created xsi:type="dcterms:W3CDTF">2026-03-17T11:34:00Z</dcterms:created>
  <dcterms:modified xsi:type="dcterms:W3CDTF">2026-03-18T07:06:00Z</dcterms:modified>
</cp:coreProperties>
</file>