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3A13" w14:textId="77777777" w:rsidR="005150AD" w:rsidRPr="00D43B55" w:rsidRDefault="005150AD">
      <w:pPr>
        <w:spacing w:before="2400"/>
      </w:pPr>
    </w:p>
    <w:p w14:paraId="141CEF27" w14:textId="77777777" w:rsidR="005150AD" w:rsidRPr="00D43B55" w:rsidRDefault="00000000">
      <w:pPr>
        <w:spacing w:after="240"/>
        <w:jc w:val="center"/>
        <w:rPr>
          <w:sz w:val="40"/>
          <w:szCs w:val="40"/>
        </w:rPr>
      </w:pPr>
      <w:r>
        <w:rPr>
          <w:rFonts w:eastAsia="Times New Roman"/>
          <w:b/>
          <w:bCs/>
          <w:sz w:val="40"/>
          <w:szCs w:val="40"/>
        </w:rPr>
        <w:t>Response to Reviewers</w:t>
      </w:r>
    </w:p>
    <w:p w14:paraId="350F7593" w14:textId="77777777" w:rsidR="005150AD" w:rsidRPr="00D43B55" w:rsidRDefault="00000000">
      <w:pPr>
        <w:spacing w:after="120"/>
        <w:jc w:val="center"/>
      </w:pPr>
      <w:r>
        <w:rPr>
          <w:rFonts w:eastAsia="Times New Roman"/>
          <w:sz w:val="24"/>
          <w:szCs w:val="24"/>
        </w:rPr>
        <w:t>Manuscript ID: PONE-D-26-01398</w:t>
      </w:r>
    </w:p>
    <w:p w14:paraId="2D1E4A0A" w14:textId="77777777" w:rsidR="005150AD" w:rsidRPr="00D43B55" w:rsidRDefault="00000000">
      <w:pPr>
        <w:spacing w:after="480"/>
        <w:jc w:val="center"/>
      </w:pPr>
      <w:r>
        <w:rPr>
          <w:rFonts w:eastAsia="Times New Roman"/>
          <w:i/>
          <w:iCs/>
          <w:sz w:val="24"/>
          <w:szCs w:val="24"/>
        </w:rPr>
        <w:t>"Exploring the ‘Best Game No One Played’ Phenomenon Using A Mixed Opinion Dynamics and Innovation Diffusion Model"</w:t>
      </w:r>
    </w:p>
    <w:p w14:paraId="7E0B3FF7" w14:textId="77777777" w:rsidR="005150AD" w:rsidRPr="00D43B55" w:rsidRDefault="00000000">
      <w:pPr>
        <w:spacing w:after="120"/>
        <w:jc w:val="center"/>
      </w:pPr>
      <w:r>
        <w:rPr>
          <w:rFonts w:eastAsia="Times New Roman"/>
          <w:sz w:val="24"/>
          <w:szCs w:val="24"/>
        </w:rPr>
        <w:t>Chung-Yuan Huang and Sheng-Wen Wang</w:t>
      </w:r>
    </w:p>
    <w:p w14:paraId="10A1DADF" w14:textId="77777777" w:rsidR="005150AD" w:rsidRPr="00D43B55" w:rsidRDefault="00000000">
      <w:r>
        <w:br w:type="page"/>
      </w:r>
    </w:p>
    <w:p w14:paraId="2C566578" w14:textId="77777777" w:rsidR="005150AD" w:rsidRPr="00630B2A" w:rsidRDefault="00000000" w:rsidP="00D43B55">
      <w:pPr>
        <w:pStyle w:val="1"/>
        <w:spacing w:before="0" w:afterLines="100" w:after="240" w:line="360" w:lineRule="auto"/>
        <w:jc w:val="center"/>
      </w:pPr>
      <w:r>
        <w:lastRenderedPageBreak/>
        <w:t>Letter to the Academic Editor</w:t>
      </w:r>
    </w:p>
    <w:p w14:paraId="097F78E0" w14:textId="77777777" w:rsidR="005150AD" w:rsidRPr="00D43B55" w:rsidRDefault="00000000" w:rsidP="00630B2A">
      <w:pPr>
        <w:spacing w:afterLines="50" w:after="120" w:line="360" w:lineRule="auto"/>
        <w:rPr>
          <w:sz w:val="24"/>
          <w:szCs w:val="24"/>
        </w:rPr>
      </w:pPr>
      <w:r>
        <w:rPr>
          <w:rFonts w:eastAsia="Times New Roman"/>
          <w:sz w:val="24"/>
          <w:szCs w:val="24"/>
        </w:rPr>
        <w:t>Dear Prof. Krzysztof Malarz,</w:t>
      </w:r>
    </w:p>
    <w:p w14:paraId="7A4CD967"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Thank you for handling our manuscript and for the opportunity to revise and resubmit. We are grateful to both reviewers for their thorough and constructive evaluations, which helped us improve the theoretical depth, methodological rigor, and overall clarity of the manuscript.</w:t>
      </w:r>
    </w:p>
    <w:p w14:paraId="713D2ED0"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We addressed every point raised by the reviewers and the journal editorial office. The major changes include: (1) a revised theoretical framework that explains why we integrate bounded confidence opinion dynamics with adoption thresholds, and how the model relates to both the Hegselmann–Krause and Deffuant traditions; (2) new controlled experiments that disentangle the coordination failure channel from the opinion clustering channel; (3) finite-size scaling experiments at N = 900, N = 1,600, and N = 2,500 to confirm robustness; (4) a new discussion section comparing the BCAT model with alternative frameworks, including information cascades, network externalities, and global games; (5) corrected and expanded statistical reporting in Table 3 with algorithm identification, standard errors, and verified data alignment; (6) an operational definition of the critical point within the BCAT framework; (7) new figures replacing NetLogo GUI screenshots with author-generated visualizations; (8) conversion to the PLOS LaTeX template with public code and data repositories; (9) expanded Discussion paragraphs that ground the three motivating cases—the Palm handheld, the Taiwanese film The Bold, The Corrupt and The Beautiful, and service-oriented architecture—in specific model parameters and simulation figures; and (10) comparison with voter models with inertia and SIS/SIR epidemic frameworks to clarify the model’s unique two-channel structure.</w:t>
      </w:r>
    </w:p>
    <w:p w14:paraId="5339DF11"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 xml:space="preserve">Below, we provide a point-by-point response to all journal requirements and reviewer comments. Reviewer comments are shown in </w:t>
      </w:r>
      <w:r>
        <w:rPr>
          <w:rFonts w:eastAsia="Times New Roman"/>
          <w:i/>
          <w:iCs/>
          <w:sz w:val="24"/>
          <w:szCs w:val="24"/>
        </w:rPr>
        <w:t>gray italics</w:t>
      </w:r>
      <w:r>
        <w:rPr>
          <w:rFonts w:eastAsia="Times New Roman"/>
          <w:sz w:val="24"/>
          <w:szCs w:val="24"/>
        </w:rPr>
        <w:t xml:space="preserve">, our responses in regular text, and specific manuscript changes are highlighted in </w:t>
      </w:r>
      <w:r>
        <w:rPr>
          <w:rFonts w:eastAsia="Times New Roman"/>
          <w:b/>
          <w:bCs/>
          <w:color w:val="2E75B6"/>
          <w:sz w:val="24"/>
          <w:szCs w:val="24"/>
        </w:rPr>
        <w:t>blue-bordered blocks</w:t>
      </w:r>
      <w:r>
        <w:rPr>
          <w:rFonts w:eastAsia="Times New Roman"/>
          <w:sz w:val="24"/>
          <w:szCs w:val="24"/>
        </w:rPr>
        <w:t>.</w:t>
      </w:r>
    </w:p>
    <w:p w14:paraId="6E2F729A" w14:textId="77777777" w:rsidR="005150AD" w:rsidRPr="00D43B55" w:rsidRDefault="00000000" w:rsidP="00630B2A">
      <w:pPr>
        <w:spacing w:afterLines="50" w:after="120" w:line="360" w:lineRule="auto"/>
        <w:ind w:firstLineChars="200" w:firstLine="480"/>
        <w:rPr>
          <w:sz w:val="24"/>
          <w:szCs w:val="24"/>
        </w:rPr>
      </w:pPr>
      <w:r>
        <w:rPr>
          <w:rFonts w:eastAsia="Times New Roman"/>
          <w:sz w:val="24"/>
          <w:szCs w:val="24"/>
        </w:rPr>
        <w:t>Sincerely,</w:t>
      </w:r>
    </w:p>
    <w:p w14:paraId="2D4C7F93" w14:textId="77777777" w:rsidR="005150AD" w:rsidRPr="00D43B55" w:rsidRDefault="00000000" w:rsidP="00630B2A">
      <w:pPr>
        <w:spacing w:afterLines="50" w:after="120" w:line="360" w:lineRule="auto"/>
        <w:jc w:val="right"/>
        <w:rPr>
          <w:i/>
          <w:iCs/>
          <w:sz w:val="24"/>
          <w:szCs w:val="24"/>
          <w:u w:val="single"/>
        </w:rPr>
      </w:pPr>
      <w:r>
        <w:rPr>
          <w:rFonts w:eastAsia="Times New Roman"/>
          <w:i/>
          <w:iCs/>
          <w:sz w:val="24"/>
          <w:szCs w:val="24"/>
          <w:u w:val="single"/>
        </w:rPr>
        <w:t>Chung-Yuan Huang and Sheng-Wen Wang</w:t>
      </w:r>
    </w:p>
    <w:p w14:paraId="6AC6E72B" w14:textId="77777777" w:rsidR="005150AD" w:rsidRPr="00D43B55" w:rsidRDefault="00000000">
      <w:r>
        <w:br w:type="page"/>
      </w:r>
    </w:p>
    <w:p w14:paraId="20D46D52" w14:textId="77777777" w:rsidR="00904E86" w:rsidRPr="00D43B55" w:rsidRDefault="00000000" w:rsidP="005F6E50">
      <w:pPr>
        <w:pStyle w:val="1"/>
        <w:spacing w:before="0" w:afterLines="50" w:after="120"/>
        <w:rPr>
          <w:sz w:val="24"/>
          <w:szCs w:val="24"/>
        </w:rPr>
      </w:pPr>
      <w:r>
        <w:rPr>
          <w:sz w:val="24"/>
          <w:szCs w:val="24"/>
        </w:rPr>
        <w:lastRenderedPageBreak/>
        <w:t>Part I: Journal Requirements</w:t>
      </w:r>
    </w:p>
    <w:p w14:paraId="4ED6F1F4" w14:textId="16E33B29" w:rsidR="005150AD" w:rsidRPr="00D43B55" w:rsidRDefault="008A71A0" w:rsidP="005F6E50">
      <w:pPr>
        <w:pStyle w:val="1"/>
        <w:numPr>
          <w:ilvl w:val="0"/>
          <w:numId w:val="7"/>
        </w:numPr>
        <w:spacing w:before="0" w:afterLines="50" w:after="120"/>
        <w:rPr>
          <w:b w:val="0"/>
          <w:bCs w:val="0"/>
          <w:sz w:val="24"/>
          <w:szCs w:val="24"/>
        </w:rPr>
      </w:pPr>
      <w:r>
        <w:rPr>
          <w:b w:val="0"/>
          <w:bCs w:val="0"/>
          <w:color w:val="404040"/>
          <w:sz w:val="24"/>
          <w:szCs w:val="24"/>
        </w:rPr>
        <w:t xml:space="preserve">Please ensure that your manuscript meets PLOS ONE's style requirements, including those for file naming. </w:t>
      </w:r>
    </w:p>
    <w:p w14:paraId="0FE879EE" w14:textId="77777777" w:rsidR="0000067E" w:rsidRPr="00D43B55" w:rsidRDefault="005A5283" w:rsidP="005F6E50">
      <w:pPr>
        <w:spacing w:afterLines="50" w:after="120"/>
        <w:rPr>
          <w:rFonts w:eastAsia="Times New Roman"/>
          <w:sz w:val="24"/>
          <w:szCs w:val="24"/>
        </w:rPr>
      </w:pPr>
      <w:r>
        <w:rPr>
          <w:rFonts w:eastAsia="Times New Roman"/>
          <w:sz w:val="24"/>
          <w:szCs w:val="24"/>
        </w:rPr>
        <w:t xml:space="preserve">Response: </w:t>
      </w:r>
    </w:p>
    <w:p w14:paraId="64D189C2" w14:textId="3BE44C68" w:rsidR="00A01762" w:rsidRPr="00D43B55" w:rsidRDefault="00A01762" w:rsidP="005F6E50">
      <w:pPr>
        <w:spacing w:afterLines="50" w:after="120"/>
        <w:rPr>
          <w:rFonts w:eastAsia="Times New Roman"/>
          <w:color w:val="0070C0"/>
          <w:sz w:val="24"/>
          <w:szCs w:val="24"/>
        </w:rPr>
      </w:pPr>
      <w:r>
        <w:rPr>
          <w:rFonts w:eastAsia="Times New Roman"/>
          <w:color w:val="0070C0"/>
          <w:sz w:val="24"/>
          <w:szCs w:val="24"/>
        </w:rPr>
        <w:t>We reviewed and ensured full compliance with PLOS ONE style requirements, including use of the official LaTeX template (plos2025.bst, Version 3.7), PLOS-compliant figure file naming (Fig1.tif–Fig12.tif), multi-panel figures combined with embedded panel labels, TIFF format at 300 DPI, and proper in-text citation conventions.</w:t>
      </w:r>
    </w:p>
    <w:p w14:paraId="6FA9D54F" w14:textId="77777777" w:rsidR="003E0F2E" w:rsidRPr="00D43B55" w:rsidRDefault="003E0F2E" w:rsidP="005F6E50">
      <w:pPr>
        <w:spacing w:afterLines="50" w:after="120"/>
        <w:rPr>
          <w:rFonts w:eastAsia="Times New Roman"/>
          <w:sz w:val="24"/>
          <w:szCs w:val="24"/>
        </w:rPr>
      </w:pPr>
    </w:p>
    <w:p w14:paraId="4E1A3926" w14:textId="5C16D767" w:rsidR="005150AD" w:rsidRPr="00D43B55" w:rsidRDefault="00167C5F" w:rsidP="005F6E50">
      <w:pPr>
        <w:pStyle w:val="a4"/>
        <w:numPr>
          <w:ilvl w:val="0"/>
          <w:numId w:val="7"/>
        </w:numPr>
        <w:spacing w:afterLines="50" w:after="120"/>
        <w:rPr>
          <w:rFonts w:eastAsia="Times New Roman"/>
          <w:sz w:val="24"/>
          <w:szCs w:val="24"/>
        </w:rPr>
      </w:pPr>
      <w:r>
        <w:rPr>
          <w:rFonts w:eastAsia="Times New Roman"/>
          <w:color w:val="404040"/>
          <w:sz w:val="24"/>
          <w:szCs w:val="24"/>
        </w:rPr>
        <w:t>Please note that PLOS One has specific guidelines on code sharing for submissions in which author-generated code underpins the findings in the manuscript. In these cases, we expect all author-generated code to be made available without restrictions upon publication of the work.</w:t>
      </w:r>
    </w:p>
    <w:p w14:paraId="0E1C41FE" w14:textId="77777777" w:rsidR="0000067E" w:rsidRPr="00D43B55" w:rsidRDefault="004719BC" w:rsidP="005F6E50">
      <w:pPr>
        <w:pStyle w:val="2"/>
        <w:spacing w:before="0" w:afterLines="50" w:after="120"/>
        <w:rPr>
          <w:b w:val="0"/>
          <w:bCs w:val="0"/>
        </w:rPr>
      </w:pPr>
      <w:r>
        <w:rPr>
          <w:b w:val="0"/>
          <w:bCs w:val="0"/>
        </w:rPr>
        <w:t xml:space="preserve">Response: </w:t>
      </w:r>
    </w:p>
    <w:p w14:paraId="7BA41AB8" w14:textId="77777777" w:rsidR="005F6E50" w:rsidRPr="00D43B55" w:rsidRDefault="005F6E50" w:rsidP="005F6E50">
      <w:pPr>
        <w:pStyle w:val="2"/>
        <w:spacing w:before="0" w:afterLines="50" w:after="120"/>
        <w:rPr>
          <w:b w:val="0"/>
          <w:bCs w:val="0"/>
          <w:color w:val="0070C0"/>
        </w:rPr>
      </w:pPr>
      <w:r>
        <w:rPr>
          <w:b w:val="0"/>
          <w:bCs w:val="0"/>
          <w:color w:val="0070C0"/>
        </w:rPr>
        <w:t>All author-generated code is publicly available without restrictions under the MIT License at https://github.com/canslab1/BCAT, including both the original NetLogo model and a Python 3 reimplementation with pre-configured parameter files for reproducing all reported results. We archived the repository on Zenodo (DOI: 10.5281/zenodo.19081523) for long-term accessibility and updated the Data Availability Statement accordingly.</w:t>
      </w:r>
    </w:p>
    <w:p w14:paraId="1C02B122" w14:textId="77777777" w:rsidR="003E0F2E" w:rsidRPr="00D43B55" w:rsidRDefault="003E0F2E" w:rsidP="005F6E50">
      <w:pPr>
        <w:pStyle w:val="2"/>
        <w:spacing w:before="0" w:afterLines="50" w:after="120"/>
        <w:rPr>
          <w:b w:val="0"/>
          <w:bCs w:val="0"/>
        </w:rPr>
      </w:pPr>
    </w:p>
    <w:p w14:paraId="68A11F69" w14:textId="66A5BA08" w:rsidR="005150AD" w:rsidRPr="00D43B55" w:rsidRDefault="0002428D" w:rsidP="005F6E50">
      <w:pPr>
        <w:pStyle w:val="2"/>
        <w:numPr>
          <w:ilvl w:val="0"/>
          <w:numId w:val="7"/>
        </w:numPr>
        <w:spacing w:before="0" w:afterLines="50" w:after="120"/>
        <w:rPr>
          <w:b w:val="0"/>
          <w:bCs w:val="0"/>
        </w:rPr>
      </w:pPr>
      <w:r>
        <w:rPr>
          <w:b w:val="0"/>
          <w:bCs w:val="0"/>
          <w:color w:val="404040"/>
        </w:rPr>
        <w:t>Please update your submission to use the PLOS LaTeX template.</w:t>
      </w:r>
    </w:p>
    <w:p w14:paraId="2E638261" w14:textId="77777777" w:rsidR="0006403B" w:rsidRPr="00D43B55" w:rsidRDefault="0006403B" w:rsidP="005F6E50">
      <w:pPr>
        <w:pStyle w:val="2"/>
        <w:spacing w:before="0" w:afterLines="50" w:after="120"/>
        <w:rPr>
          <w:b w:val="0"/>
          <w:bCs w:val="0"/>
        </w:rPr>
      </w:pPr>
      <w:r>
        <w:rPr>
          <w:b w:val="0"/>
          <w:bCs w:val="0"/>
        </w:rPr>
        <w:t xml:space="preserve">Response: </w:t>
      </w:r>
    </w:p>
    <w:p w14:paraId="78B1F7FD" w14:textId="77777777" w:rsidR="005F6E50" w:rsidRPr="00D43B55" w:rsidRDefault="005F6E50" w:rsidP="005F6E50">
      <w:pPr>
        <w:pStyle w:val="2"/>
        <w:spacing w:before="0" w:afterLines="50" w:after="120"/>
        <w:rPr>
          <w:b w:val="0"/>
          <w:bCs w:val="0"/>
          <w:color w:val="0070C0"/>
        </w:rPr>
      </w:pPr>
      <w:r>
        <w:rPr>
          <w:b w:val="0"/>
          <w:bCs w:val="0"/>
          <w:color w:val="0070C0"/>
        </w:rPr>
        <w:t>Thank you for the guidance. We prepared the manuscript using the official PLOS ONE LaTeX template, including all required formatting elements.</w:t>
      </w:r>
    </w:p>
    <w:p w14:paraId="21AB8ADE" w14:textId="77777777" w:rsidR="003E0F2E" w:rsidRPr="00D43B55" w:rsidRDefault="003E0F2E" w:rsidP="005F6E50">
      <w:pPr>
        <w:pStyle w:val="2"/>
        <w:spacing w:before="0" w:afterLines="50" w:after="120"/>
        <w:rPr>
          <w:b w:val="0"/>
          <w:bCs w:val="0"/>
        </w:rPr>
      </w:pPr>
    </w:p>
    <w:p w14:paraId="217DB0D2" w14:textId="7653DD5F" w:rsidR="005150AD" w:rsidRPr="00D43B55" w:rsidRDefault="001B1A5A" w:rsidP="005F6E50">
      <w:pPr>
        <w:pStyle w:val="2"/>
        <w:numPr>
          <w:ilvl w:val="0"/>
          <w:numId w:val="7"/>
        </w:numPr>
        <w:spacing w:before="0" w:afterLines="50" w:after="120"/>
        <w:rPr>
          <w:b w:val="0"/>
          <w:bCs w:val="0"/>
        </w:rPr>
      </w:pPr>
      <w:r>
        <w:rPr>
          <w:b w:val="0"/>
          <w:bCs w:val="0"/>
          <w:color w:val="404040"/>
        </w:rPr>
        <w:t>Please confirm at this time whether or not your submission contains all raw data required to replicate the results of your study. Authors must share the “minimal data set” for their submission.</w:t>
      </w:r>
    </w:p>
    <w:p w14:paraId="29E1C34B" w14:textId="77777777" w:rsidR="00607937" w:rsidRPr="00D43B55" w:rsidRDefault="00607937" w:rsidP="005F6E50">
      <w:pPr>
        <w:pStyle w:val="2"/>
        <w:spacing w:before="0" w:afterLines="50" w:after="120"/>
        <w:rPr>
          <w:b w:val="0"/>
          <w:bCs w:val="0"/>
        </w:rPr>
      </w:pPr>
      <w:r>
        <w:rPr>
          <w:b w:val="0"/>
          <w:bCs w:val="0"/>
        </w:rPr>
        <w:t xml:space="preserve">Response: </w:t>
      </w:r>
    </w:p>
    <w:p w14:paraId="76FFA2BE" w14:textId="4053FF7B" w:rsidR="005F6E50" w:rsidRPr="00D43B55" w:rsidRDefault="005F6E50" w:rsidP="005F6E50">
      <w:pPr>
        <w:spacing w:afterLines="50" w:after="120"/>
        <w:rPr>
          <w:rFonts w:eastAsia="Times New Roman"/>
          <w:color w:val="0070C0"/>
          <w:sz w:val="24"/>
          <w:szCs w:val="24"/>
        </w:rPr>
      </w:pPr>
      <w:r>
        <w:rPr>
          <w:rFonts w:eastAsia="Times New Roman"/>
          <w:color w:val="0070C0"/>
          <w:sz w:val="24"/>
          <w:szCs w:val="24"/>
        </w:rPr>
        <w:t>We confirm that all data required to replicate our results are publicly available. As a computational simulation study, the minimal dataset consists of: (1) the complete source code and parameter configuration files (GitHub and Zenodo, as noted above), and (2) the raw sensitivity analysis output data underlying Table 3 and Figs 7–9, available in the data/ directory at https://github.com/canslab1/PLOS-BCAT. We updated the Data Availability Statement accordingly.</w:t>
      </w:r>
    </w:p>
    <w:p w14:paraId="597C1FE8" w14:textId="77777777" w:rsidR="003E0F2E" w:rsidRPr="00D43B55" w:rsidRDefault="003E0F2E" w:rsidP="005F6E50">
      <w:pPr>
        <w:spacing w:afterLines="50" w:after="120"/>
        <w:rPr>
          <w:rFonts w:eastAsia="Times New Roman"/>
          <w:sz w:val="24"/>
          <w:szCs w:val="24"/>
        </w:rPr>
      </w:pPr>
    </w:p>
    <w:p w14:paraId="01EB5980" w14:textId="0597633E" w:rsidR="005150AD" w:rsidRPr="00D43B55" w:rsidRDefault="00000000" w:rsidP="005F6E50">
      <w:pPr>
        <w:pStyle w:val="a4"/>
        <w:numPr>
          <w:ilvl w:val="0"/>
          <w:numId w:val="7"/>
        </w:numPr>
        <w:spacing w:afterLines="50" w:after="120"/>
        <w:rPr>
          <w:rFonts w:eastAsia="Times New Roman"/>
          <w:sz w:val="24"/>
          <w:szCs w:val="24"/>
        </w:rPr>
      </w:pPr>
      <w:r>
        <w:rPr>
          <w:rFonts w:eastAsia="Times New Roman"/>
          <w:color w:val="404040"/>
          <w:sz w:val="24"/>
          <w:szCs w:val="24"/>
        </w:rPr>
        <w:t xml:space="preserve">We note that Figures 2, 4, 5, 6, 10 and 11 in your submission contain copyrighted images. We require you to either (1) present written permission from the copyright </w:t>
      </w:r>
      <w:r>
        <w:rPr>
          <w:rFonts w:eastAsia="Times New Roman"/>
          <w:color w:val="404040"/>
          <w:sz w:val="24"/>
          <w:szCs w:val="24"/>
        </w:rPr>
        <w:lastRenderedPageBreak/>
        <w:t>holder to publish these figures specifically under the CC BY 4.0 license, or (2) remove the figures from your submission.</w:t>
      </w:r>
    </w:p>
    <w:p w14:paraId="0110CF4D" w14:textId="77777777" w:rsidR="002A3058" w:rsidRPr="00D43B55" w:rsidRDefault="002A3058" w:rsidP="005F6E50">
      <w:pPr>
        <w:pStyle w:val="2"/>
        <w:spacing w:before="0" w:afterLines="50" w:after="120"/>
        <w:rPr>
          <w:b w:val="0"/>
          <w:bCs w:val="0"/>
        </w:rPr>
      </w:pPr>
      <w:r>
        <w:rPr>
          <w:b w:val="0"/>
          <w:bCs w:val="0"/>
        </w:rPr>
        <w:t xml:space="preserve">Response: </w:t>
      </w:r>
    </w:p>
    <w:p w14:paraId="40CB826F" w14:textId="09E0E8FE" w:rsidR="003E0F2E" w:rsidRPr="00D43B55" w:rsidRDefault="005F6E50" w:rsidP="003E0F2E">
      <w:pPr>
        <w:spacing w:afterLines="50" w:after="120"/>
        <w:rPr>
          <w:rFonts w:eastAsia="Times New Roman"/>
          <w:b/>
          <w:bCs/>
          <w:sz w:val="28"/>
          <w:szCs w:val="28"/>
        </w:rPr>
      </w:pPr>
      <w:r>
        <w:rPr>
          <w:rFonts w:eastAsia="Times New Roman"/>
          <w:color w:val="0070C0"/>
          <w:sz w:val="24"/>
          <w:szCs w:val="24"/>
        </w:rPr>
        <w:t>We chose option (2). The original figures were screenshots from the NetLogo GUI, which may contain copyrighted visual elements belonging to the NetLogo platform. To resolve this, we re-implemented the BCAT model in Python 3 and regenerated all six figures (Figs 2, 4, 5, 6, 10, 11) using our own visualization code. The revised figures present equivalent simulation results under identical parameter configurations, and all visual elements are entirely our original work. No third-party copyrighted material remains in the manuscript.</w:t>
      </w:r>
      <w:r>
        <w:br w:type="page"/>
      </w:r>
    </w:p>
    <w:p w14:paraId="09E628AB" w14:textId="7CE037D9" w:rsidR="005150AD" w:rsidRPr="00D43B55" w:rsidRDefault="00000000">
      <w:pPr>
        <w:pStyle w:val="1"/>
      </w:pPr>
      <w:r>
        <w:lastRenderedPageBreak/>
        <w:t>Part II: Response to Reviewer #1</w:t>
      </w:r>
    </w:p>
    <w:p w14:paraId="5DB2D4ED" w14:textId="77777777" w:rsidR="005150AD" w:rsidRPr="00D43B55" w:rsidRDefault="00000000">
      <w:pPr>
        <w:spacing w:after="160" w:line="360" w:lineRule="auto"/>
      </w:pPr>
      <w:r>
        <w:rPr>
          <w:rFonts w:eastAsia="Times New Roman"/>
        </w:rPr>
        <w:t>We thank Reviewer #1 for the thoughtful and constructive evaluation. The reviewer’s comments—particularly the identification of two distinct mechanism channels and the call for distinguishing predictions relative to alternative theories—guided substantial theoretical improvements to the manuscript.</w:t>
      </w:r>
    </w:p>
    <w:p w14:paraId="309F79C4" w14:textId="77777777" w:rsidR="005150AD" w:rsidRPr="00D43B55" w:rsidRDefault="00000000">
      <w:pPr>
        <w:pStyle w:val="2"/>
      </w:pPr>
      <w:r>
        <w:t>R1-1. What Makes the Two Models Combine Organically?</w:t>
      </w:r>
    </w:p>
    <w:p w14:paraId="710F1CBB" w14:textId="77777777" w:rsidR="005150AD" w:rsidRPr="00D43B55" w:rsidRDefault="00000000">
      <w:pPr>
        <w:pBdr>
          <w:left w:val="single" w:sz="3" w:space="8" w:color="808080"/>
        </w:pBdr>
        <w:spacing w:after="160" w:line="360" w:lineRule="auto"/>
        <w:ind w:left="480"/>
      </w:pPr>
      <w:r>
        <w:rPr>
          <w:rFonts w:eastAsia="Times New Roman"/>
          <w:i/>
          <w:iCs/>
          <w:color w:val="404040"/>
        </w:rPr>
        <w:t>The paper motivates the BCAT model as a combination of opinion dynamics and adoption thresholds, but the theoretical rationale for why these two components interact in the specific way they do could be articulated more sharply. In particular, the current presentation treats the two components somewhat modularly: agents first update opinions via bounded confidence, then check an adoption threshold. The reader is left to infer the interaction structure from the pseudo-code rather than from a conceptual discussion.</w:t>
      </w:r>
    </w:p>
    <w:p w14:paraId="6BCE2B8A" w14:textId="77777777" w:rsidR="005150AD" w:rsidRPr="00D43B55" w:rsidRDefault="00000000">
      <w:pPr>
        <w:pBdr>
          <w:left w:val="single" w:sz="3" w:space="8" w:color="808080"/>
        </w:pBdr>
        <w:spacing w:after="160" w:line="360" w:lineRule="auto"/>
        <w:ind w:left="480"/>
      </w:pPr>
      <w:r>
        <w:rPr>
          <w:rFonts w:eastAsia="Times New Roman"/>
          <w:i/>
          <w:iCs/>
          <w:color w:val="404040"/>
        </w:rPr>
        <w:t>It would strengthen the paper to discuss explicitly: (a) what features of bounded confidence opinion dynamics—as opposed to, say, DeGroot-style averaging or voter model dynamics—make it a natural complement to threshold-based adoption, and (b) what structural properties of the combined model are not present in either component alone.</w:t>
      </w:r>
    </w:p>
    <w:p w14:paraId="5F6945D7" w14:textId="77777777" w:rsidR="005150AD" w:rsidRPr="00D43B55" w:rsidRDefault="00000000">
      <w:pPr>
        <w:spacing w:after="160" w:line="360" w:lineRule="auto"/>
      </w:pPr>
      <w:r>
        <w:rPr>
          <w:rFonts w:eastAsia="Times New Roman"/>
        </w:rPr>
        <w:t>We agree that the original manuscript presented the two model components too modularly, leaving the reader to infer their interaction logic from the pseudocode. In the revised manuscript, we added two new paragraphs—one at the end of the Related Models section and one in the Emergent Properties of the Combined Model subsection within the Simulation Model Specifications section—that explain the conceptual logic underlying the coupling of bounded confidence opinion dynamics with adoption thresholds.</w:t>
      </w:r>
    </w:p>
    <w:p w14:paraId="64A93AEB" w14:textId="77777777" w:rsidR="005150AD" w:rsidRPr="00D43B55" w:rsidRDefault="00000000">
      <w:pPr>
        <w:spacing w:after="160" w:line="360" w:lineRule="auto"/>
      </w:pPr>
      <w:r>
        <w:rPr>
          <w:rFonts w:eastAsia="Times New Roman"/>
        </w:rPr>
        <w:t xml:space="preserve">Regarding point (a), we now discuss why bounded confidence—rather than DeGroot-style averaging or voter model dynamics—is the natural complement to threshold-based adoption. DeGroot-style averaging models (Golub &amp; Jackson, 2010, 2012; Cheng et al., 2026) assume that all agents accept influence from all neighbors, leading to guaranteed convergence toward consensus under mild connectivity conditions. This property makes the DeGroot framework ill-suited for studying the “best game no one played” phenomenon, because it cannot generate opinion fragmentation—a key mechanism through which positive average sentiment may coexist with insufficient local support for adoption. Voter model dynamics are discrete and memoryless (each agent randomly copies a neighbor’s binary state) and cannot capture the gradual, </w:t>
      </w:r>
      <w:r>
        <w:rPr>
          <w:rFonts w:eastAsia="Times New Roman"/>
        </w:rPr>
        <w:lastRenderedPageBreak/>
        <w:t>continuous nature of attitude evolution that characterizes real consumer sentiment formation. Bounded confidence occupies a unique position: by restricting opinion exchange to pairs whose attitudes fall within a tolerance threshold, it naturally generates both consensus (when the confidence bound is large) and fragmentation into multiple clusters (when the bound is small). This dual capacity makes bounded confidence a suitable partner for the adoption threshold mechanism, because fragmentation creates the possibility that average attitudes are positive yet local neighborhoods lack sufficient positive-attitude agents to trigger adoption cascades.</w:t>
      </w:r>
    </w:p>
    <w:p w14:paraId="4B464634" w14:textId="77777777" w:rsidR="005150AD" w:rsidRPr="00D43B55" w:rsidRDefault="00000000">
      <w:pPr>
        <w:spacing w:after="160" w:line="360" w:lineRule="auto"/>
      </w:pPr>
      <w:r>
        <w:rPr>
          <w:rFonts w:eastAsia="Times New Roman"/>
        </w:rPr>
        <w:t xml:space="preserve">Regarding point (b), we now identify emergent properties of the combined model that neither component produces alone. The most important is the </w:t>
      </w:r>
      <w:r>
        <w:rPr>
          <w:rFonts w:eastAsia="Times New Roman"/>
          <w:b/>
          <w:bCs/>
        </w:rPr>
        <w:t>bidirectional feedback loop between adoption status and opinion exchange</w:t>
      </w:r>
      <w:r>
        <w:rPr>
          <w:rFonts w:eastAsia="Times New Roman"/>
        </w:rPr>
        <w:t>. In the BCAT model, opinion exchange rules depend on the adoption statuses of both interacting agents: when one agent has adopted and the other has not, the exchange follows asymmetric persuasion logic (the adopted agent exerts stronger influence); when both have adopted, attitudes converge toward the more positive pole; when neither has adopted, standard bidirectional convergence applies. The adoption decision—ostensibly a downstream consequence of opinion formation—thus feeds back into the opinion dynamics process, creating a coupled dynamical system whose behavior cannot be predicted from either component in isolation. For instance, early adoption by a few agents can create localized pockets of reinforced positive attitudes that may or may not propagate outward, depending on network structure and threshold distribution.</w:t>
      </w:r>
    </w:p>
    <w:p w14:paraId="620003E4"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Two new paragraphs have been added to the manuscript. (1) At the end of the Related Models section, a paragraph now explicitly argues why bounded confidence—rather than DeGroot-style averaging (Golub &amp; Jackson, 2010, 2012; Cheng et al., 2026) or voter model dynamics—is the theoretically necessary complement to threshold-based adoption, on the grounds that only bounded confidence can sustain persistent opinion fragmentation as a long-run equilibrium property, thereby generating the endogenous pre-filter on adoption eligibility that produces the opinion–adoption gap. (2) In the Emergent Properties of the Combined Model subsection within the Simulation Model Specifications section, two paragraphs identify two emergent structural properties unique to the combined BCAT framework: a dual-filter mechanism captured by the inequality 0 ≤ GSI ≤ FRI ≤ 1, and an adoption-to-opinion feedback loop in which adopted agents selectively reshape opinion trajectories among bounded-confidence-reachable neighbors (Algorithm 3, Scenarios 1.1 and 2.2). References to Golub &amp; Jackson (2010, 2012), Cheng et al. (2026), and McPherson et al. (2001) have been added.</w:t>
      </w:r>
    </w:p>
    <w:p w14:paraId="35A23B37" w14:textId="77777777" w:rsidR="005150AD" w:rsidRPr="00D43B55" w:rsidRDefault="005150AD">
      <w:pPr>
        <w:pBdr>
          <w:bottom w:val="single" w:sz="1" w:space="0" w:color="CCCCCC"/>
        </w:pBdr>
        <w:spacing w:before="120" w:after="120"/>
      </w:pPr>
    </w:p>
    <w:p w14:paraId="2BC66A59" w14:textId="77777777" w:rsidR="005150AD" w:rsidRPr="00D43B55" w:rsidRDefault="00000000">
      <w:pPr>
        <w:pStyle w:val="2"/>
      </w:pPr>
      <w:r>
        <w:t>R1-2. The Wedge Between Opinion and Adoption: Key Mechanisms</w:t>
      </w:r>
    </w:p>
    <w:p w14:paraId="75EAA91A" w14:textId="77777777" w:rsidR="005150AD" w:rsidRPr="00D43B55" w:rsidRDefault="00000000">
      <w:pPr>
        <w:pBdr>
          <w:left w:val="single" w:sz="3" w:space="8" w:color="808080"/>
        </w:pBdr>
        <w:spacing w:after="160" w:line="360" w:lineRule="auto"/>
        <w:ind w:left="480"/>
      </w:pPr>
      <w:r>
        <w:rPr>
          <w:rFonts w:eastAsia="Times New Roman"/>
          <w:i/>
          <w:iCs/>
          <w:color w:val="404040"/>
        </w:rPr>
        <w:t>The most interesting aspect of the paper is the divergence between opinion dynamics and adoption behavior. From the current model, I can identify at least two distinct channels. The first is a coordination failure channel: even when all agents hold positive attitudes, adoption requires a critical mass of neighbors to have already adopted, and this critical mass may fail to materialize if early adopters are too dispersed across the network. The second is an opinion clustering channel: bounded confidence can partition the population into opinion clusters, some of which settle below the positive-attitude threshold. It would be valuable for the authors to disentangle these channels more carefully.</w:t>
      </w:r>
    </w:p>
    <w:p w14:paraId="4666434E" w14:textId="77777777" w:rsidR="005150AD" w:rsidRPr="00D43B55" w:rsidRDefault="00000000">
      <w:pPr>
        <w:spacing w:after="160" w:line="360" w:lineRule="auto"/>
      </w:pPr>
      <w:r>
        <w:rPr>
          <w:rFonts w:eastAsia="Times New Roman"/>
        </w:rPr>
        <w:t>We appreciate the identification of these two distinct mechanism channels. We agree that disentangling their respective contributions deepens the paper’s theoretical contribution. Following this suggestion, we designed three controlled mechanism decomposition experiments (MD-A, MD-B, MD-C) within the BCAT simulation framework, using parameter configurations that selectively disable one channel while preserving the other. We report results in a new subsection titled “Mechanism decomposition: Coordination failure versus opinion clustering” and an accompanying new figure (Fig 10).</w:t>
      </w:r>
    </w:p>
    <w:p w14:paraId="5C30E0B9" w14:textId="77777777" w:rsidR="005150AD" w:rsidRPr="00D43B55" w:rsidRDefault="00000000">
      <w:pPr>
        <w:spacing w:after="160" w:line="360" w:lineRule="auto"/>
      </w:pPr>
      <w:r>
        <w:rPr>
          <w:rFonts w:eastAsia="Times New Roman"/>
          <w:b/>
          <w:bCs/>
        </w:rPr>
        <w:t xml:space="preserve">Experiment MD-A (Coordination Failure Isolated). </w:t>
      </w:r>
      <w:r>
        <w:rPr>
          <w:rFonts w:eastAsia="Times New Roman"/>
        </w:rPr>
        <w:t>We disabled opinion dynamics while ensuring universal positive attitudes by setting avg-of-attitudes = 80 with std-of-attitudes = 0, yielding att = 81 &gt; 50 for all non-pioneer agents, and bounded-confidence = 10 (the slider minimum). The attitude distance between pioneers (att = 100) and non-pioneers (att = 81) equals 19, which exceeds the communication threshold, so no opinion exchange occurs. FRI = 1.0 is guaranteed throughout. We swept avg-of-thresholds from 10 to 70, with 1,000 runs per point on both regular lattice and small-world (p = 0.10) topologies.</w:t>
      </w:r>
    </w:p>
    <w:p w14:paraId="5A2A0DCB" w14:textId="77777777" w:rsidR="005150AD" w:rsidRPr="00D43B55" w:rsidRDefault="00000000">
      <w:pPr>
        <w:spacing w:after="160" w:line="360" w:lineRule="auto"/>
      </w:pPr>
      <w:r>
        <w:rPr>
          <w:rFonts w:eastAsia="Times New Roman"/>
          <w:b/>
          <w:bCs/>
        </w:rPr>
        <w:t xml:space="preserve">Experiment MD-B (Opinion Clustering Isolated). </w:t>
      </w:r>
      <w:r>
        <w:rPr>
          <w:rFonts w:eastAsia="Times New Roman"/>
        </w:rPr>
        <w:t>We set no-of-pioneers = 0, eliminating all adoption seeds. GSI remains at zero throughout, so opinion dynamics operates in complete isolation from adoption feedback. We used avg-of-attitudes = 50, std-of-attitudes = 15, and bounded-confidence = 50, with 1,000 runs. The key outcome is FRI at t = 300, which measures the fraction of agents retaining positive attitudes after opinion clustering reaches steady state.</w:t>
      </w:r>
    </w:p>
    <w:p w14:paraId="1A6016DD" w14:textId="77777777" w:rsidR="005150AD" w:rsidRPr="00D43B55" w:rsidRDefault="00000000">
      <w:pPr>
        <w:spacing w:after="160" w:line="360" w:lineRule="auto"/>
      </w:pPr>
      <w:r>
        <w:rPr>
          <w:rFonts w:eastAsia="Times New Roman"/>
        </w:rPr>
        <w:t xml:space="preserve">Experiment MD-C (Full BCAT Baseline). We ran the full model with MD-B’s opinion parameters plus no-of-pioneers = 5, sweeping avg-of-thresholds from 10 to 70. Results (30,000 total simulation runs, 1,000 per configuration): MD-A reveals a sharp phase transition in </w:t>
      </w:r>
      <w:r>
        <w:rPr>
          <w:rFonts w:eastAsia="Times New Roman"/>
        </w:rPr>
        <w:lastRenderedPageBreak/>
        <w:t>coordination dynamics between avg-of-thresholds = 30 (GSI = 0.976) and 40 (GSI = 0.026) on the regular lattice; at high thresholds (40–70), only the five pioneers adopt (GSI ≈ 0.013). MD-B shows that opinion clustering alone reduces FRI to 0.600 (lattice) and 0.618 (small-world)—a 40% contraction. The striking MD-C finding is that FRI recovers to approximately 1.0 across all threshold values, because the user-friendly testimony effect (Algorithm 3, Scenarios 1.1 and 2.2) pulls bounded-confidence-reachable neighbors above the attitude threshold. The opinion clustering contribution (1 − FRI) to the total gap is therefore negligible in the full model, and the coordination failure channel (FRI − GSI) dominates the gap. This reveals that the testimony effect acts as an endogenous corrective mechanism that counteracts opinion clustering—but only when the adoption cascade propagates.</w:t>
      </w:r>
    </w:p>
    <w:p w14:paraId="7359E842"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A new subsection “Mechanism decomposition: Coordination failure versus opinion clustering” has been added to the Results section, reporting three controlled experiments (MD-A, MD-B, MD-C; 30,000 total runs across regular lattice and small-world topologies). Key findings: (1) MD-A reveals a phase transition in coordination failure between avg-of-thresholds = 30 (GSI = 0.976) and 40 (GSI = 0.026); (2) MD-B shows opinion clustering alone reduces FRI to 0.600; (3) MD-C demonstrates that the testimony effect recovers FRI to ≈1.0, making coordination failure the dominant channel. A new Fig 10 presents the two-panel decomposition. A new paragraph in the Discussion interprets the intervention implications of the two channels.</w:t>
      </w:r>
    </w:p>
    <w:p w14:paraId="5B303339" w14:textId="77777777" w:rsidR="005150AD" w:rsidRPr="00D43B55" w:rsidRDefault="005150AD">
      <w:pPr>
        <w:pBdr>
          <w:bottom w:val="single" w:sz="1" w:space="0" w:color="CCCCCC"/>
        </w:pBdr>
        <w:spacing w:before="120" w:after="120"/>
      </w:pPr>
    </w:p>
    <w:p w14:paraId="6329E64D" w14:textId="77777777" w:rsidR="005150AD" w:rsidRPr="00D43B55" w:rsidRDefault="00000000">
      <w:pPr>
        <w:pStyle w:val="2"/>
      </w:pPr>
      <w:r>
        <w:t>R1-3. Empirical Grounding</w:t>
      </w:r>
    </w:p>
    <w:p w14:paraId="5974F495" w14:textId="77777777" w:rsidR="005150AD" w:rsidRPr="00D43B55" w:rsidRDefault="00000000">
      <w:pPr>
        <w:pBdr>
          <w:left w:val="single" w:sz="3" w:space="8" w:color="808080"/>
        </w:pBdr>
        <w:spacing w:after="160" w:line="360" w:lineRule="auto"/>
        <w:ind w:left="480"/>
      </w:pPr>
      <w:r>
        <w:rPr>
          <w:rFonts w:eastAsia="Times New Roman"/>
          <w:i/>
          <w:iCs/>
          <w:color w:val="404040"/>
        </w:rPr>
        <w:t>The paper’s motivating examples—the Palm handheld, a Taiwanese film, and service-oriented architecture—are mentioned briefly in the introduction but not revisited. Given that the opinion–adoption wedge is the paper’s central phenomenon, the empirical case for its relevance deserves fuller development.</w:t>
      </w:r>
    </w:p>
    <w:p w14:paraId="76D7E572" w14:textId="77777777" w:rsidR="005150AD" w:rsidRPr="00D43B55" w:rsidRDefault="00000000">
      <w:pPr>
        <w:spacing w:after="160" w:line="360" w:lineRule="auto"/>
      </w:pPr>
      <w:r>
        <w:rPr>
          <w:rFonts w:eastAsia="Times New Roman"/>
        </w:rPr>
        <w:t>We agree that the motivating cases deserved deeper treatment. In the revised manuscript, we inserted case-specific interpretive paragraphs into the Discussion section, positioned after the parametric discussion most relevant to each case. Each paragraph maps the historically documented features of the case onto BCAT model parameters and simulation outcomes. We do not claim formal calibration but ground the theoretical interpretation in the known empirical characteristics of each example. No new simulations were required; these additions are interpretive elaborations based on existing sensitivity analysis results.</w:t>
      </w:r>
    </w:p>
    <w:p w14:paraId="538A4724" w14:textId="77777777" w:rsidR="005150AD" w:rsidRPr="00D43B55" w:rsidRDefault="00000000">
      <w:pPr>
        <w:spacing w:after="160" w:line="360" w:lineRule="auto"/>
      </w:pPr>
      <w:r>
        <w:rPr>
          <w:rFonts w:eastAsia="Times New Roman"/>
        </w:rPr>
        <w:lastRenderedPageBreak/>
        <w:t>We discuss the Palm case after the avg-of-thresholds paragraph: mainstream consumers required visible evidence of widespread peer adoption before committing to an unfamiliar device, corresponding to high avg-of-thresholds on a regular lattice where localized interactions prevented inter-neighborhood cascading. As illustrated in Fig 5, this configuration produces steadily rising FRI alongside near-zero GSI—precisely the Palm scenario.</w:t>
      </w:r>
    </w:p>
    <w:p w14:paraId="7AD80C50" w14:textId="77777777" w:rsidR="005150AD" w:rsidRPr="00D43B55" w:rsidRDefault="00000000">
      <w:pPr>
        <w:spacing w:after="160" w:line="360" w:lineRule="auto"/>
      </w:pPr>
      <w:r>
        <w:rPr>
          <w:rFonts w:eastAsia="Times New Roman"/>
        </w:rPr>
        <w:t>We discuss the Taiwanese film case after the avg-of-attitudes paragraph: the cinephile community held strongly positive attitudes, but the general audience’s baseline predisposition toward dark Taiwanese drama was low (low avg-of-attitudes), and the attitude gap between the two communities exceeded the bounded confidence threshold, preventing opinion propagation. As shown in Fig 8c–d, low avg-of-attitudes produces a plateau in adoption outcomes insensitive to other parameter variation.</w:t>
      </w:r>
    </w:p>
    <w:p w14:paraId="4D5D49E7" w14:textId="77777777" w:rsidR="005150AD" w:rsidRPr="00D43B55" w:rsidRDefault="00000000">
      <w:pPr>
        <w:spacing w:after="160" w:line="360" w:lineRule="auto"/>
      </w:pPr>
      <w:r>
        <w:rPr>
          <w:rFonts w:eastAsia="Times New Roman"/>
        </w:rPr>
        <w:t>We discuss the SOA case after the bounded-confidence paragraph: the primary barrier was the inability of technical architects to communicate across the professional vocabulary gap separating them from enterprise decision-makers—a textbook bounded-confidence clustering failure. As shown in Fig 8a–b, low bounded-confidence severely limits cross-cluster influence. The 2008 financial crisis then functioned as an exogenous negative shock to avg-of-attitudes. We added a reference to Erl (2005) for scholarly grounding.</w:t>
      </w:r>
    </w:p>
    <w:p w14:paraId="0EE9120A" w14:textId="77777777" w:rsidR="005150AD" w:rsidRPr="00D43B55" w:rsidRDefault="00000000">
      <w:pPr>
        <w:spacing w:after="160" w:line="360" w:lineRule="auto"/>
      </w:pPr>
      <w:r>
        <w:rPr>
          <w:rFonts w:eastAsia="Times New Roman"/>
        </w:rPr>
        <w:t>We emphasize that these mappings are qualitative and interpretive: the BCAT model’s abstract 1–100 attitude scale cannot be directly calibrated to real-world consumer data. The model’s value lies in capturing structural mechanisms rather than providing quantitative predictions for any specific product or market.</w:t>
      </w:r>
    </w:p>
    <w:p w14:paraId="1E65CB6C"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Three case-specific interpretive paragraphs have been inserted into the Discussion section, each positioned after the parametric discussion most relevant to the case: (1) Palm handheld after the avg-of-thresholds paragraph, mapping the coordination failure on regular lattice topology to Fig 5; (2) The Bold, The Corrupt and The Beautiful after the avg-of-attitudes paragraph, mapping the attitude baseline gap to the adoption plateau in Fig 8c–d; (3) SOA after the bounded-confidence paragraph, mapping the professional vocabulary gap to bounded-confidence clustering failure in Fig 8a–b, with the 2008 crisis as an exogenous avg-of-attitudes shock. A reference to Erl (2005) has been added for scholarly grounding of the SOA case.</w:t>
      </w:r>
    </w:p>
    <w:p w14:paraId="4239B425" w14:textId="77777777" w:rsidR="005150AD" w:rsidRPr="00D43B55" w:rsidRDefault="005150AD">
      <w:pPr>
        <w:pBdr>
          <w:bottom w:val="single" w:sz="1" w:space="0" w:color="CCCCCC"/>
        </w:pBdr>
        <w:spacing w:before="120" w:after="120"/>
      </w:pPr>
    </w:p>
    <w:p w14:paraId="3AC0B4FA" w14:textId="77777777" w:rsidR="005150AD" w:rsidRPr="00D43B55" w:rsidRDefault="00000000">
      <w:pPr>
        <w:pStyle w:val="2"/>
      </w:pPr>
      <w:r>
        <w:lastRenderedPageBreak/>
        <w:t>R1-4. Alternative Theories and Distinguishing Predictions</w:t>
      </w:r>
    </w:p>
    <w:p w14:paraId="0DEBA3E1" w14:textId="77777777" w:rsidR="005150AD" w:rsidRPr="00D43B55" w:rsidRDefault="00000000">
      <w:pPr>
        <w:pBdr>
          <w:left w:val="single" w:sz="3" w:space="8" w:color="808080"/>
        </w:pBdr>
        <w:spacing w:after="160" w:line="360" w:lineRule="auto"/>
        <w:ind w:left="480"/>
      </w:pPr>
      <w:r>
        <w:rPr>
          <w:rFonts w:eastAsia="Times New Roman"/>
          <w:i/>
          <w:iCs/>
          <w:color w:val="404040"/>
        </w:rPr>
        <w:t>Other theories can also account for the opinion–adoption gap: rational herding and information cascades (Banerjee 1992), network externalities and coordination games (Katz and Shapiro 1985), and global games with heterogeneous thresholds (Morris and Shin 2003). Each mechanism implies different comparative statics. Discussing these distinctions, and suggesting how experiments or empirical tests might discriminate between them, would significantly enhance the paper’s contribution.</w:t>
      </w:r>
    </w:p>
    <w:p w14:paraId="23FAA60A" w14:textId="77777777" w:rsidR="005150AD" w:rsidRPr="00D43B55" w:rsidRDefault="00000000">
      <w:pPr>
        <w:spacing w:after="160" w:line="360" w:lineRule="auto"/>
      </w:pPr>
      <w:r>
        <w:rPr>
          <w:rFonts w:eastAsia="Times New Roman"/>
        </w:rPr>
        <w:t>This suggestion substantially sharpens the paper’s theoretical positioning. We added a dedicated set of paragraphs to the Discussion section, positioned after the mechanism decomposition discussion and before the parameter-specific strategy recommendations, that systematically compares the BCAT model with the three alternative frameworks identified by the reviewer and articulates the structural differences in mechanism, comparative statics, and empirical identifiability.</w:t>
      </w:r>
    </w:p>
    <w:p w14:paraId="61C0830E" w14:textId="77777777" w:rsidR="005150AD" w:rsidRPr="00D43B55" w:rsidRDefault="00000000">
      <w:pPr>
        <w:spacing w:after="160" w:line="360" w:lineRule="auto"/>
      </w:pPr>
      <w:r>
        <w:rPr>
          <w:rFonts w:eastAsia="Times New Roman"/>
          <w:b/>
          <w:bCs/>
        </w:rPr>
        <w:t xml:space="preserve">Information Cascades (Banerjee, 1992). </w:t>
      </w:r>
      <w:r>
        <w:rPr>
          <w:rFonts w:eastAsia="Times New Roman"/>
        </w:rPr>
        <w:t>In Banerjee’s model, agents observe the sequential actions of predecessors and rationally update beliefs, potentially leading to herding behavior where private information is discarded in favor of following the crowd. The key distinction from BCAT is that information cascade models involve no opinion exchange—agents strategically delay or imitate rather than communicate and update attitudes. Information cascades can therefore produce widespread adoption even when private attitudes are not uniformly positive (herding overrides private information), whereas the BCAT model strictly requires positive attitudes as a necessary condition for adoption. This generates a testable prediction: if empirical data show products adopted en masse despite mixed private sentiments (measurable through anonymous surveys), the information cascade model would be supported over BCAT.</w:t>
      </w:r>
    </w:p>
    <w:p w14:paraId="31709D7C" w14:textId="77777777" w:rsidR="005150AD" w:rsidRPr="00D43B55" w:rsidRDefault="00000000">
      <w:pPr>
        <w:spacing w:after="160" w:line="360" w:lineRule="auto"/>
      </w:pPr>
      <w:r>
        <w:rPr>
          <w:rFonts w:eastAsia="Times New Roman"/>
          <w:b/>
          <w:bCs/>
        </w:rPr>
        <w:t xml:space="preserve">Network Externalities and Coordination Games (Katz &amp; Shapiro, 1985). </w:t>
      </w:r>
      <w:r>
        <w:rPr>
          <w:rFonts w:eastAsia="Times New Roman"/>
        </w:rPr>
        <w:t>In this framework, adoption failure arises from installed-base dependence: the utility of adopting increases with the number of existing adopters, creating a coordination problem independent of opinion dynamics. The distinguishing comparative static concerns network topology: the BCAT model predicts a larger opinion–adoption gap in highly clustered networks (e.g., small-world) because localized clustering traps adoption cascades within communities, whereas coordination games predict a larger gap in sparser networks because coordination is more difficult when agents have fewer connections and less information about aggregate adoption levels.</w:t>
      </w:r>
    </w:p>
    <w:p w14:paraId="48565904" w14:textId="77777777" w:rsidR="005150AD" w:rsidRPr="00D43B55" w:rsidRDefault="00000000">
      <w:pPr>
        <w:spacing w:after="160" w:line="360" w:lineRule="auto"/>
      </w:pPr>
      <w:r>
        <w:rPr>
          <w:rFonts w:eastAsia="Times New Roman"/>
          <w:b/>
          <w:bCs/>
        </w:rPr>
        <w:t xml:space="preserve">Global Games (Morris &amp; Shin, 2003). </w:t>
      </w:r>
      <w:r>
        <w:rPr>
          <w:rFonts w:eastAsia="Times New Roman"/>
        </w:rPr>
        <w:t xml:space="preserve">In the global games framework, coordination failure </w:t>
      </w:r>
      <w:r>
        <w:rPr>
          <w:rFonts w:eastAsia="Times New Roman"/>
        </w:rPr>
        <w:lastRenderedPageBreak/>
        <w:t>arises from higher-order belief uncertainty: even when all agents hold favorable attitudes, uncertainty about whether others also hold favorable attitudes (and whether others know that others do) can prevent coordinated action. The critical distinction from BCAT is that global games are inherently static—they do not model the temporal evolution of attitudes. BCAT, by contrast, can explain time-dependent phenomena such as attitudes that converge favorably in the early period but fragment later, leading to adoption failure—a dynamic pattern that the static global games framework cannot generate.</w:t>
      </w:r>
    </w:p>
    <w:p w14:paraId="33A1C66C" w14:textId="77777777" w:rsidR="005150AD" w:rsidRPr="00D43B55" w:rsidRDefault="00000000">
      <w:pPr>
        <w:spacing w:after="160" w:line="360" w:lineRule="auto"/>
      </w:pPr>
      <w:r>
        <w:rPr>
          <w:rFonts w:eastAsia="Times New Roman"/>
        </w:rPr>
        <w:t>We conclude the new subsection by discussing how future empirical research could discriminate among these theories. Time-series attitude data (e.g., from social media sentiment analysis) would provide a natural testing ground, as only the BCAT model generates detailed predictions about the temporal trajectory of attitude evolution prior to adoption outcomes.</w:t>
      </w:r>
    </w:p>
    <w:p w14:paraId="6045DA26"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changes: </w:t>
      </w:r>
      <w:r>
        <w:rPr>
          <w:rFonts w:eastAsia="Times New Roman"/>
        </w:rPr>
        <w:t>Six new paragraphs have been added to the Discussion section comparing BCAT with three alternative frameworks. Key distinguishing predictions: (1) vs. Banerjee (1992): BCAT produces S-curve adoption (Figs 4, 6a) rather than step-function cascades, and social influence operates through attitude transmission rather than Bayesian inference; (2) vs. Katz &amp; Shapiro (1985): BCAT predicts larger adoption gaps in clustered networks (supported by Table 3 Feature Importance data), opposite to the coordination game prediction; (3) vs. Morris &amp; Shin (2003): BCAT contains no higher-order belief mechanism—when FRI = 1.0 and thresholds are low, adoption necessarily occurs (confirmed by MD-A experiments). References to Banerjee (1992), Katz &amp; Shapiro (1985), and Morris &amp; Shin (2003) have been added.</w:t>
      </w:r>
    </w:p>
    <w:p w14:paraId="72CED77E" w14:textId="77777777" w:rsidR="005150AD" w:rsidRPr="00D43B55" w:rsidRDefault="005150AD">
      <w:pPr>
        <w:pBdr>
          <w:bottom w:val="single" w:sz="1" w:space="0" w:color="CCCCCC"/>
        </w:pBdr>
        <w:spacing w:before="120" w:after="120"/>
      </w:pPr>
    </w:p>
    <w:p w14:paraId="042DE800" w14:textId="77777777" w:rsidR="005150AD" w:rsidRPr="00D43B55" w:rsidRDefault="00000000">
      <w:pPr>
        <w:pStyle w:val="2"/>
      </w:pPr>
      <w:r>
        <w:t>R1-Minor. Reference Error: Gong et al. (2020)</w:t>
      </w:r>
    </w:p>
    <w:p w14:paraId="7029F8C7" w14:textId="77777777" w:rsidR="005150AD" w:rsidRPr="00D43B55" w:rsidRDefault="00000000">
      <w:pPr>
        <w:pBdr>
          <w:left w:val="single" w:sz="3" w:space="8" w:color="808080"/>
        </w:pBdr>
        <w:spacing w:after="160" w:line="360" w:lineRule="auto"/>
        <w:ind w:left="480"/>
      </w:pPr>
      <w:r>
        <w:rPr>
          <w:rFonts w:eastAsia="Times New Roman"/>
          <w:i/>
          <w:iCs/>
          <w:color w:val="404040"/>
        </w:rPr>
        <w:t>The Gong et al. (2020) reference contains what appears to be a corrupted title: “Hence, the source code used for this project may require significant modification to be applied to new studies.”</w:t>
      </w:r>
    </w:p>
    <w:p w14:paraId="1539CDA7" w14:textId="77777777" w:rsidR="005150AD" w:rsidRPr="00D43B55" w:rsidRDefault="00000000">
      <w:pPr>
        <w:spacing w:after="160" w:line="360" w:lineRule="auto"/>
      </w:pPr>
      <w:r>
        <w:rPr>
          <w:rFonts w:eastAsia="Times New Roman"/>
        </w:rPr>
        <w:t>We thank the reviewer for catching this error. We confirmed that the text “Hence, the source code used for this project may require significant modification to be applied to new studies” is a technical annotation from the BCAT simulation codebase that was inadvertently introduced into the title field during manuscript preparation. This is a field contamination error, not an incorrect citation. The correct title is “A loud but harsh voice: The impact of celebrity endorsement on online WOM,” published in Journal of Management Science (</w:t>
      </w:r>
      <w:r>
        <w:rPr>
          <w:rFonts w:ascii="新細明體" w:eastAsia="新細明體" w:hAnsi="新細明體" w:cs="新細明體" w:hint="eastAsia"/>
        </w:rPr>
        <w:t>管理科学</w:t>
      </w:r>
      <w:r>
        <w:rPr>
          <w:rFonts w:eastAsia="Times New Roman"/>
        </w:rPr>
        <w:t xml:space="preserve">), 2020, volume 33, issue </w:t>
      </w:r>
      <w:r>
        <w:rPr>
          <w:rFonts w:eastAsia="Times New Roman"/>
        </w:rPr>
        <w:lastRenderedPageBreak/>
        <w:t>2, pages 114–126. We corrected this in the revised manuscript and conducted a systematic review of all remaining reference entries, confirming that the error is isolated to this single entry.</w:t>
      </w:r>
    </w:p>
    <w:p w14:paraId="65932DBF"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w:t>
      </w:r>
      <w:r>
        <w:rPr>
          <w:rFonts w:eastAsia="Times New Roman"/>
        </w:rPr>
        <w:t>The reference entry for Gong et al. (2020) has been corrected with the verified title and complete bibliographic information in the References section.</w:t>
      </w:r>
    </w:p>
    <w:p w14:paraId="5A4EED6C" w14:textId="77777777" w:rsidR="005150AD" w:rsidRPr="00D43B55" w:rsidRDefault="00000000">
      <w:r>
        <w:br w:type="page"/>
      </w:r>
    </w:p>
    <w:p w14:paraId="20F73DCD" w14:textId="77777777" w:rsidR="005150AD" w:rsidRPr="00D43B55" w:rsidRDefault="00000000">
      <w:pPr>
        <w:pStyle w:val="1"/>
      </w:pPr>
      <w:r>
        <w:lastRenderedPageBreak/>
        <w:t>Part III: Response to Reviewer #2</w:t>
      </w:r>
    </w:p>
    <w:p w14:paraId="480A94B9" w14:textId="77777777" w:rsidR="005150AD" w:rsidRPr="00D43B55" w:rsidRDefault="00000000">
      <w:pPr>
        <w:spacing w:after="160" w:line="360" w:lineRule="auto"/>
      </w:pPr>
      <w:r>
        <w:rPr>
          <w:rFonts w:eastAsia="Times New Roman"/>
        </w:rPr>
        <w:t>We thank Reviewer #2 for the rigorous and technically detailed evaluation. The reviewer’s identification of the discrepancy between our theoretical framing and simulation implementation, and the call for finite-size scaling analysis, led to significant methodological improvements.</w:t>
      </w:r>
    </w:p>
    <w:p w14:paraId="58F86056" w14:textId="77777777" w:rsidR="005150AD" w:rsidRPr="00D43B55" w:rsidRDefault="00000000">
      <w:pPr>
        <w:pStyle w:val="2"/>
      </w:pPr>
      <w:r>
        <w:t>R2-1. Discrepancy Between Deffuant Model and Simulation Implementation</w:t>
      </w:r>
    </w:p>
    <w:p w14:paraId="4B94A8FF" w14:textId="77777777" w:rsidR="005150AD" w:rsidRPr="00D43B55" w:rsidRDefault="00000000">
      <w:pPr>
        <w:pBdr>
          <w:left w:val="single" w:sz="3" w:space="8" w:color="808080"/>
        </w:pBdr>
        <w:spacing w:after="160" w:line="360" w:lineRule="auto"/>
        <w:ind w:left="480"/>
      </w:pPr>
      <w:r>
        <w:rPr>
          <w:rFonts w:eastAsia="Times New Roman"/>
          <w:i/>
          <w:iCs/>
          <w:color w:val="404040"/>
        </w:rPr>
        <w:t>There is a fundamental discrepancy between the mathematical definitions and the simulation implementation. The authors cite the Deffuant et al. (2002) model, which is defined on a continuous opinion space with time-varying uncertainty. However, the BCAT implementation uses integer attitudes (1, 100) and a fixed bounded-confidence parameter. Methodologically, this makes the implementation a version of the HK (Hegselmann-Krause) model. The authors must reconcile the theoretical framing in Section 2 with the actual simulation.</w:t>
      </w:r>
    </w:p>
    <w:p w14:paraId="21240BBD" w14:textId="77777777" w:rsidR="005150AD" w:rsidRPr="00D43B55" w:rsidRDefault="00000000">
      <w:pPr>
        <w:spacing w:after="160" w:line="360" w:lineRule="auto"/>
      </w:pPr>
      <w:r>
        <w:rPr>
          <w:rFonts w:eastAsia="Times New Roman"/>
        </w:rPr>
        <w:t>We thank the reviewer for this technically precise observation. We address it in two parts.</w:t>
      </w:r>
    </w:p>
    <w:p w14:paraId="7EE327F9" w14:textId="77777777" w:rsidR="005150AD" w:rsidRPr="00D43B55" w:rsidRDefault="00000000">
      <w:pPr>
        <w:spacing w:after="160" w:line="360" w:lineRule="auto"/>
      </w:pPr>
      <w:r>
        <w:rPr>
          <w:rFonts w:eastAsia="Times New Roman"/>
        </w:rPr>
        <w:t>Part 1: The integer attitude scale is a deliberate and mathematically equivalent discretization. The integer scale [1, 100] is a uniform discretization of the continuous interval [0, 1] into 100 equally spaced levels, where each integer unit corresponds to an interval of 0.01. The bounded confidence parameter max-opinion-distance follows the same convention: a value of 40 corresponds to a confidence threshold of ε = 0.40 in the standard literature. We made this design choice to facilitate sensitivity analysis and to align the attitude scale with survey-style measurement instruments. We added a note in the Simulation Model Specifications section stating this equivalence.</w:t>
      </w:r>
    </w:p>
    <w:p w14:paraId="6B81853F" w14:textId="77777777" w:rsidR="005150AD" w:rsidRPr="00D43B55" w:rsidRDefault="00000000">
      <w:pPr>
        <w:spacing w:after="160" w:line="360" w:lineRule="auto"/>
      </w:pPr>
      <w:r>
        <w:rPr>
          <w:rFonts w:eastAsia="Times New Roman"/>
          <w:b/>
          <w:bCs/>
        </w:rPr>
        <w:t xml:space="preserve">Part 2: The opinion update mechanism corresponds to the simple bounded confidence Deffuant model, not the Relative Agreement variant. </w:t>
      </w:r>
      <w:r>
        <w:rPr>
          <w:rFonts w:eastAsia="Times New Roman"/>
        </w:rPr>
        <w:t xml:space="preserve">The reviewer’s deeper observation concerns the relationship between the mathematical description in the Related Models section and the actual update mechanism in Algorithm 3. Section 2 of the original manuscript introduces the Deffuant et al. (2002) Relative Agreement (RA) model, which features agent-specific, time-varying uncertainty parameters and computes attitude adjustments as a function of confidence interval overlap (Equations 1 and 2). However, the BCAT opinion update procedure implements the rule att_new = round(C + μ × (B − C)), where μ is the fixed convergence-rate parameter. This rule does not involve any uncertainty parameter, does not compute confidence interval overlap, and does not update any agent-specific confidence bound. It is structurally equivalent to the </w:t>
      </w:r>
      <w:r>
        <w:rPr>
          <w:rFonts w:eastAsia="Times New Roman"/>
        </w:rPr>
        <w:lastRenderedPageBreak/>
        <w:t>simple Deffuant bounded confidence model (Deffuant et al., 2000)—specifically, the pairwise random interaction variant in which two agents adjust their opinions by a fixed fraction μ of their difference, provided the difference falls below a global fixed threshold ε.</w:t>
      </w:r>
    </w:p>
    <w:p w14:paraId="62E1C396" w14:textId="77777777" w:rsidR="005150AD" w:rsidRPr="00D43B55" w:rsidRDefault="00000000">
      <w:pPr>
        <w:spacing w:after="160" w:line="360" w:lineRule="auto"/>
      </w:pPr>
      <w:r>
        <w:rPr>
          <w:rFonts w:eastAsia="Times New Roman"/>
          <w:b/>
          <w:bCs/>
        </w:rPr>
        <w:t xml:space="preserve">Manuscript changes: </w:t>
      </w:r>
      <w:r>
        <w:rPr>
          <w:rFonts w:eastAsia="Times New Roman"/>
        </w:rPr>
        <w:t>We revised Section 2 accordingly. We retained the description of the RA model and its equations as literature context, but added a disambiguation sentence stating that the BCAT model does not implement the full RA update rule. A new paragraph positions the BCAT opinion update mechanism as a networked, discretized, adoption-status-conditioned extension of the simple Deffuant bounded confidence model (Deffuant et al., 2000). A new comparative table (Table 1) summarizes the structural relationships among the HKmodel, the Deffuant RA model, and the BCAT opinion component across eight dimensions. We rewrote the Algorithm 3 description in the Simulation Model Specifications section to specify the fixed-rate convergence rule, the ε = max-opinion-distance/100 equivalence, and the absence of any agent-specific uncertainty parameter. Table 2 now includes a note on the integer-to-continuous mapping. These clarifications affect the theoretical positioning of the model but do not require any changes to the simulation itself.</w:t>
      </w:r>
    </w:p>
    <w:p w14:paraId="6169ABFE" w14:textId="12517D4E" w:rsidR="005150AD" w:rsidRPr="00D43B55" w:rsidRDefault="00000000">
      <w:pPr>
        <w:spacing w:after="160" w:line="360" w:lineRule="auto"/>
      </w:pPr>
      <w:r>
        <w:rPr>
          <w:rFonts w:eastAsia="Times New Roman"/>
          <w:b/>
          <w:bCs/>
        </w:rPr>
        <w:t xml:space="preserve">We emphasize </w:t>
      </w:r>
      <w:r>
        <w:rPr>
          <w:rFonts w:eastAsia="Times New Roman"/>
        </w:rPr>
        <w:t>that these clarifications affect the model’s theoretical positioning but do not require any changes to the simulation itself. The BCAT model’s scientific contribution lies in integrating a bounded confidence opinion dynamics mechanism with adoption threshold diffusion, and in the adoption-status-conditioned feedback structure that generates the opinion–adoption gap. The revised framing makes this contribution more precise rather than diminishing it. We added a reference to the original simple Deffuant bounded confidence model (Deffuant et al., 2000).</w:t>
      </w:r>
    </w:p>
    <w:p w14:paraId="2DF8280F"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(revised Section 2, paragraphs on Deffuant model): </w:t>
      </w:r>
      <w:r>
        <w:rPr>
          <w:rFonts w:eastAsia="Times New Roman"/>
        </w:rPr>
        <w:t>(1) A disambiguation sentence has been added after Equations 1 and 2, explicitly stating that the BCAT model does not implement the full RA update rule. (2) A new paragraph at the end of the Related Models section positions the BCAT opinion component as a networked, discretized, adoption-status-conditioned extension of the simple Deffuant bounded confidence model (Deffuant et al., 2000), with a fixed global ε = max-opinion-distance/100. (3) The Algorithm 3 description in the Simulation Model Specifications section has been rewritten to specify the fixed-rate convergence rule att_new = round(C + μ × (B − C)), the ε equivalence, and the absence of dynamic uncertainty parameters. (4) Table 2 now includes a note on the integer-to-continuous mapping for attitude values.</w:t>
      </w:r>
    </w:p>
    <w:p w14:paraId="242599CC" w14:textId="77777777" w:rsidR="005150AD" w:rsidRPr="00D43B55" w:rsidRDefault="00000000">
      <w:pPr>
        <w:pBdr>
          <w:left w:val="single" w:sz="3" w:space="8" w:color="2E75B6"/>
        </w:pBdr>
        <w:spacing w:after="160" w:line="360" w:lineRule="auto"/>
        <w:ind w:left="480"/>
      </w:pPr>
      <w:r>
        <w:rPr>
          <w:rFonts w:eastAsia="Times New Roman"/>
          <w:b/>
          <w:bCs/>
          <w:color w:val="2E75B6"/>
        </w:rPr>
        <w:lastRenderedPageBreak/>
        <w:t>Manuscript change (new Table 1):</w:t>
      </w:r>
      <w:r>
        <w:rPr>
          <w:rFonts w:eastAsia="Times New Roman"/>
        </w:rPr>
        <w:t>A comparative table (Table 1) has been added at the end of the Related Models section, with columns for Model Feature, HK Model, Deffuant RA Model, and BCAT Opinion Component, covering eight dimensions: Interaction structure, Confidence threshold, Opinion space, Update timing, Uncertainty dynamics, Convergence parameter, Network structure, and Adoption-status conditioning.</w:t>
      </w:r>
    </w:p>
    <w:p w14:paraId="5189F27D" w14:textId="77777777" w:rsidR="005150AD" w:rsidRPr="00D43B55" w:rsidRDefault="005150AD">
      <w:pPr>
        <w:pBdr>
          <w:bottom w:val="single" w:sz="1" w:space="0" w:color="CCCCCC"/>
        </w:pBdr>
        <w:spacing w:before="120" w:after="120"/>
      </w:pPr>
    </w:p>
    <w:p w14:paraId="342874E9" w14:textId="77777777" w:rsidR="005150AD" w:rsidRPr="00D43B55" w:rsidRDefault="00000000">
      <w:pPr>
        <w:pStyle w:val="2"/>
      </w:pPr>
      <w:r>
        <w:t>R2-2. Update Scheme: Synchronous vs. Asynchronous</w:t>
      </w:r>
    </w:p>
    <w:p w14:paraId="0F19DDC6" w14:textId="77777777" w:rsidR="005150AD" w:rsidRPr="00D43B55" w:rsidRDefault="00000000">
      <w:pPr>
        <w:pBdr>
          <w:left w:val="single" w:sz="3" w:space="8" w:color="808080"/>
        </w:pBdr>
        <w:spacing w:after="160" w:line="360" w:lineRule="auto"/>
        <w:ind w:left="480"/>
      </w:pPr>
      <w:r>
        <w:rPr>
          <w:rFonts w:eastAsia="Times New Roman"/>
          <w:i/>
          <w:iCs/>
          <w:color w:val="404040"/>
        </w:rPr>
        <w:t>The manuscript leaves the update scheme ambiguous. Algorithm 3 suggests that at each tick, agents interact with one randomly chosen neighbor (asynchronous/sequential update). However, the overall simulation structure does not clarify if the adoption state is updated synchronously. Given that update order qualitatively affects convergence in opinion dynamics (cf. Berenbrink et al., 2024), the authors must explicitly define and justify the choice of synchronous vs. asynchronous updating.</w:t>
      </w:r>
    </w:p>
    <w:p w14:paraId="6E5DA136" w14:textId="77777777" w:rsidR="005150AD" w:rsidRPr="00D43B55" w:rsidRDefault="00000000">
      <w:pPr>
        <w:spacing w:after="160" w:line="360" w:lineRule="auto"/>
      </w:pPr>
      <w:r>
        <w:rPr>
          <w:rFonts w:eastAsia="Times New Roman"/>
        </w:rPr>
        <w:t>We thank the reviewer for raising this methodological point. The BCAT model uses a pseudo-concurrent update scheme, implemented via the ask-concurrent command in NetLogo 4.0.5. Under ask-concurrent, all agents are processed in a randomly shuffled order within each tick, and each agent’s state modifications take effect immediately. The Python 3 reimplementation faithfully reproduces this behavior. This scheme lies between strictly synchronous updating (where all agents read old states before any writes occur) and strictly sequential updating with a fixed order (where position in the queue systematically advantages certain agents).</w:t>
      </w:r>
    </w:p>
    <w:p w14:paraId="18FE7BDF" w14:textId="77777777" w:rsidR="005150AD" w:rsidRPr="00D43B55" w:rsidRDefault="00000000">
      <w:pPr>
        <w:spacing w:after="160" w:line="360" w:lineRule="auto"/>
      </w:pPr>
      <w:r>
        <w:rPr>
          <w:rFonts w:eastAsia="Times New Roman"/>
        </w:rPr>
        <w:t>We chose this scheme because the random reshuffling of execution order at each tick ensures that no agent systematically benefits from its position in the processing sequence. The randomness in the simulation therefore comes from four well-defined stochastic elements: (1) the random selection of a neighbor for each agent per tick, (2) the initial random assignment of attitude and threshold values, (3) the random or clustered placement of pioneer agents, and (4) the random execution order within each tick. Because each source is controlled and reproducible given a fixed random seed, the sensitivity analysis results reported in the Results section reflect model parameter effects rather than systematic scheduling artifacts.</w:t>
      </w:r>
    </w:p>
    <w:p w14:paraId="75E2D92C"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(Section 3, Algorithm 3 description): </w:t>
      </w:r>
      <w:r>
        <w:rPr>
          <w:rFonts w:eastAsia="Times New Roman"/>
        </w:rPr>
        <w:t xml:space="preserve">Two new paragraphs have been added to the Simulation Model Specifications section, immediately following the adoption decision-making description. The first paragraph explains the pseudo-concurrent update semantics of ask-concurrent (random-order sequential execution with immediate writes) and </w:t>
      </w:r>
      <w:r>
        <w:rPr>
          <w:rFonts w:eastAsia="Times New Roman"/>
        </w:rPr>
        <w:lastRenderedPageBreak/>
        <w:t>confirms that the Python 3 reimplementation faithfully reproduces this behavior. The second paragraph states the methodological rationale: random reshuffling of execution order at each tick prevents systematic scheduling bias, and identifies four controlled stochastic elements ensuring that sensitivity analysis results reported in the Results section reflect model parameter effects.</w:t>
      </w:r>
    </w:p>
    <w:p w14:paraId="1AB271E9"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 </w:t>
      </w:r>
    </w:p>
    <w:p w14:paraId="4AC8B41D" w14:textId="77777777" w:rsidR="005150AD" w:rsidRPr="00D43B55" w:rsidRDefault="005150AD">
      <w:pPr>
        <w:pBdr>
          <w:bottom w:val="single" w:sz="1" w:space="0" w:color="CCCCCC"/>
        </w:pBdr>
        <w:spacing w:before="120" w:after="120"/>
      </w:pPr>
    </w:p>
    <w:p w14:paraId="10B2866B" w14:textId="77777777" w:rsidR="005150AD" w:rsidRPr="00D43B55" w:rsidRDefault="00000000">
      <w:pPr>
        <w:pStyle w:val="2"/>
      </w:pPr>
      <w:r>
        <w:t>R2-3. Adoption Threshold Scaling (0–100 vs. 0–1)</w:t>
      </w:r>
    </w:p>
    <w:p w14:paraId="2BDB6E18" w14:textId="77777777" w:rsidR="005150AD" w:rsidRPr="00D43B55" w:rsidRDefault="00000000">
      <w:pPr>
        <w:pBdr>
          <w:left w:val="single" w:sz="3" w:space="8" w:color="808080"/>
        </w:pBdr>
        <w:spacing w:after="160" w:line="360" w:lineRule="auto"/>
        <w:ind w:left="480"/>
      </w:pPr>
      <w:r>
        <w:rPr>
          <w:rFonts w:eastAsia="Times New Roman"/>
          <w:i/>
          <w:iCs/>
          <w:color w:val="404040"/>
        </w:rPr>
        <w:t>In Algorithm 3, the adoption threshold is treated as a percentage (0–100). In the standard diffusion literature (e.g., Watts 2004, Valente 1996), the threshold is strictly a fraction in (0–1). While not a fatal error, this non-standard scaling complicates comparisons with existing literature and makes the interpretation of Table 3 potentially misleading.</w:t>
      </w:r>
    </w:p>
    <w:p w14:paraId="1C1B638A" w14:textId="77777777" w:rsidR="005150AD" w:rsidRPr="00D43B55" w:rsidRDefault="00000000">
      <w:pPr>
        <w:spacing w:after="160" w:line="360" w:lineRule="auto"/>
      </w:pPr>
      <w:r>
        <w:rPr>
          <w:rFonts w:eastAsia="Times New Roman"/>
        </w:rPr>
        <w:t>We thank the reviewer for this observation, which is well-founded from a reporting transparency standpoint. As clarified in our response to R2-1, the integer scale [1, 100] used throughout the BCAT model is a uniform 100-level discretization of the continuous interval [0, 1], where each integer unit corresponds to an interval of 0.01. This scaling convention applies uniformly to both attitude values and adoption thresholds. An avg-of-thresholds value of 40, for instance, represents a mean adoption threshold of θ = 0.40 in the fractional notation standard in the diffusion literature (Watts, 2004; Valente, 1996), meaning that an agent adopts only when the proportion of its neighbors who have already adopted meets or exceeds 40%. The adoption decision rule of Algorithm 3 enforces this equivalence by computing the neighbor adoption proportion (a value in [0, 1]) and comparing it against theta/100. The two sides of the inequality therefore operate on identical scales, and the model’s mathematical behavior is exactly equivalent to a formulation using fractional thresholds in [0.01, 1.00].</w:t>
      </w:r>
    </w:p>
    <w:p w14:paraId="61C67049" w14:textId="77777777" w:rsidR="005150AD" w:rsidRPr="00D43B55" w:rsidRDefault="00000000">
      <w:pPr>
        <w:spacing w:after="160" w:line="360" w:lineRule="auto"/>
      </w:pPr>
      <w:r>
        <w:rPr>
          <w:rFonts w:eastAsia="Times New Roman"/>
        </w:rPr>
        <w:t>We acknowledge that the original manuscript did not make this scaling equivalence explicit. In the revised manuscript, we added a clarifying statement in the Table 2 parameter description for avg-of-thresholds and std-of-thresholds, and appended a footnote to Table 3 providing the fractional equivalents for the threshold parameter values used in the sensitivity analysis. No changes to the simulation code or model behavior are required.</w:t>
      </w:r>
    </w:p>
    <w:p w14:paraId="14CE817B"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(Section 3, threshold definition): </w:t>
      </w:r>
      <w:r>
        <w:rPr>
          <w:rFonts w:eastAsia="Times New Roman"/>
        </w:rPr>
        <w:t xml:space="preserve">The Table 2 description for avg-of-thresholds and std-of-thresholds now states: “Threshold values follow the same [1, 100] ≡ </w:t>
      </w:r>
      <w:r>
        <w:rPr>
          <w:rFonts w:eastAsia="Times New Roman"/>
        </w:rPr>
        <w:lastRenderedPageBreak/>
        <w:t>[0.01, 1.00] discretization convention as attitude values: in the adoption decision rule (Algorithm 3), the integer threshold is divided by 100 before comparison with the neighbor adoption proportion, yielding fractional thresholds consistent with the standard convention in the diffusion literature (Watts, 2004; Valente, 1996). For example, avg-of-thresholds = 40 corresponds to a mean fractional threshold of θ = 0.40, requiring at least 40% of an agent’s neighbors to have adopted before the agent itself adopts.”</w:t>
      </w:r>
    </w:p>
    <w:p w14:paraId="514A00CF"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(Table 3):</w:t>
      </w:r>
      <w:r>
        <w:rPr>
          <w:rFonts w:eastAsia="Times New Roman"/>
        </w:rPr>
        <w:t>A footnote has been added to Table 3 stating: “All avg-of-thresholds values are stored as integers in [1, 100] and are equivalent to fractional adoption thresholds in [0.01, 1.00] via the conversion θ = avg-of-thresholds/100, as implemented in the adoption decision rule of Algorithm 3. The sensitivity analysis sweeps avg-of-thresholds across the range [10, 70], corresponding to fractional thresholds of [0.10, 0.70].”</w:t>
      </w:r>
    </w:p>
    <w:p w14:paraId="1F0DD6B9" w14:textId="77777777" w:rsidR="005150AD" w:rsidRPr="00D43B55" w:rsidRDefault="005150AD">
      <w:pPr>
        <w:pBdr>
          <w:bottom w:val="single" w:sz="1" w:space="0" w:color="CCCCCC"/>
        </w:pBdr>
        <w:spacing w:before="120" w:after="120"/>
      </w:pPr>
    </w:p>
    <w:p w14:paraId="70F342A8" w14:textId="77777777" w:rsidR="005150AD" w:rsidRPr="00D43B55" w:rsidRDefault="00000000">
      <w:pPr>
        <w:pStyle w:val="2"/>
      </w:pPr>
      <w:r>
        <w:t>R2-4. Incomplete Statistical Reporting in Table 3</w:t>
      </w:r>
    </w:p>
    <w:p w14:paraId="3F5123DD" w14:textId="77777777" w:rsidR="005150AD" w:rsidRPr="00D43B55" w:rsidRDefault="00000000">
      <w:pPr>
        <w:pBdr>
          <w:left w:val="single" w:sz="3" w:space="8" w:color="808080"/>
        </w:pBdr>
        <w:spacing w:after="160" w:line="360" w:lineRule="auto"/>
        <w:ind w:left="480"/>
      </w:pPr>
      <w:r>
        <w:rPr>
          <w:rFonts w:eastAsia="Times New Roman"/>
          <w:i/>
          <w:iCs/>
          <w:color w:val="404040"/>
        </w:rPr>
        <w:t>The reporting in Table 3 remains incomplete: (a) The specific feature importance algorithm is never identified. (b) Table 3 provides point estimates only; the authors must include standard errors or confidence intervals. (c) There appears to be a permutation error in the “All” row; values seem misaligned with individual network columns.</w:t>
      </w:r>
    </w:p>
    <w:p w14:paraId="26D9A071" w14:textId="77777777" w:rsidR="005150AD" w:rsidRPr="00D43B55" w:rsidRDefault="00000000">
      <w:pPr>
        <w:spacing w:after="160" w:line="360" w:lineRule="auto"/>
      </w:pPr>
      <w:r>
        <w:rPr>
          <w:rFonts w:eastAsia="Times New Roman"/>
          <w:b/>
          <w:bCs/>
        </w:rPr>
        <w:t xml:space="preserve">(a) Algorithm identification. </w:t>
      </w:r>
      <w:r>
        <w:rPr>
          <w:rFonts w:eastAsia="Times New Roman"/>
        </w:rPr>
        <w:t>We apologize for this omission. We computed the feature importance values using a Random Forest regression ensemble with 100 trees and the mean decrease in impurity (Gini importance) criterion, with all other hyperparameters at their default values. We added this information to the Sensitivity Analysis subsection of the Results section.</w:t>
      </w:r>
    </w:p>
    <w:p w14:paraId="05ECC9A6" w14:textId="77777777" w:rsidR="005150AD" w:rsidRPr="00D43B55" w:rsidRDefault="00000000">
      <w:pPr>
        <w:spacing w:after="160" w:line="360" w:lineRule="auto"/>
      </w:pPr>
      <w:r>
        <w:rPr>
          <w:rFonts w:eastAsia="Times New Roman"/>
          <w:b/>
          <w:bCs/>
        </w:rPr>
        <w:t xml:space="preserve">(b) Uncertainty reporting. </w:t>
      </w:r>
      <w:r>
        <w:rPr>
          <w:rFonts w:eastAsia="Times New Roman"/>
        </w:rPr>
        <w:t>We revised Table 3 to include standard errors for the Random Forest feature importance values, computed as the standard deviation of per-tree importance values across the 100-tree ensemble divided by √100. All SE values are ≤ 0.001 (rounding to 0.00 at two decimal places), reflecting the high stability of importance estimates over the large sample sizes used (N = 15,876 to 100,548). For the remaining four methods—multivariate regression, partial correlation, standardized regression, and parameter importance (Pearson correlation)—the reported values are deterministic analytical results given the input data, so standard errors are not applicable. A footnote in Table 3 clarifies this distinction.</w:t>
      </w:r>
    </w:p>
    <w:p w14:paraId="68009A6D" w14:textId="77777777" w:rsidR="005150AD" w:rsidRPr="00D43B55" w:rsidRDefault="00000000">
      <w:pPr>
        <w:spacing w:after="160" w:line="360" w:lineRule="auto"/>
      </w:pPr>
      <w:r>
        <w:rPr>
          <w:rFonts w:eastAsia="Times New Roman"/>
          <w:b/>
          <w:bCs/>
        </w:rPr>
        <w:t xml:space="preserve">(c) Data alignment verification. </w:t>
      </w:r>
      <w:r>
        <w:rPr>
          <w:rFonts w:eastAsia="Times New Roman"/>
        </w:rPr>
        <w:t xml:space="preserve">Following the reviewer’s prompt, we conducted a systematic audit of all values in Table 3 and discovered that the Parameter Importance section contained a </w:t>
      </w:r>
      <w:r>
        <w:rPr>
          <w:rFonts w:eastAsia="Times New Roman"/>
        </w:rPr>
        <w:lastRenderedPageBreak/>
        <w:t>copy-paste error: the values were inadvertently duplicated from the Standardized Regression section with rows and columns transposed. We corrected this error. The Parameter Importance rows now report Pearson correlation coefficients between each parameter and the adoption outcome variable, computed directly from the sensitivity analysis data. We also verified that the “All” row values across all five analysis methods are consistent with the aggregated dataset (N = 100,548 observations across four network topologies). We sincerely apologize for this error in the original submission. We also added a footnote to Table 3 explaining why the corrected Parameter Importance values closely approximate the Standardized Regression coefficients: because the five input parameters are varied independently in the sensitivity analysis design, the predictors are approximately orthogonal, and the two measures are mathematically equivalent under this condition.</w:t>
      </w:r>
    </w:p>
    <w:p w14:paraId="7A313F7B"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(Sensitivity Analysis text):</w:t>
      </w:r>
      <w:r>
        <w:rPr>
          <w:rFonts w:eastAsia="Times New Roman"/>
        </w:rPr>
        <w:t>A sentence has been added identifying the five statistical methods used, including: “Feature importance from a Random Forest regression ensemble (100 trees, mean decrease in impurity criterion, default hyperparameters).”</w:t>
      </w:r>
    </w:p>
    <w:p w14:paraId="4E5D4380"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(Table 3):</w:t>
      </w:r>
      <w:r>
        <w:rPr>
          <w:rFonts w:eastAsia="Times New Roman"/>
        </w:rPr>
        <w:t>Feature Importance values now include ±SE. The Parameter Importance section has been corrected with verified Pearson correlation values. A footnote explains that SE is computed from per-tree importances (all SE ≤ 0.001), and that the remaining four methods produce deterministic analytical results.</w:t>
      </w:r>
    </w:p>
    <w:p w14:paraId="6AF35C0A" w14:textId="77777777" w:rsidR="005150AD" w:rsidRPr="00D43B55" w:rsidRDefault="005150AD">
      <w:pPr>
        <w:pBdr>
          <w:bottom w:val="single" w:sz="1" w:space="0" w:color="CCCCCC"/>
        </w:pBdr>
        <w:spacing w:before="120" w:after="120"/>
      </w:pPr>
    </w:p>
    <w:p w14:paraId="151EE3F8" w14:textId="77777777" w:rsidR="005150AD" w:rsidRPr="00D43B55" w:rsidRDefault="00000000">
      <w:pPr>
        <w:pStyle w:val="2"/>
      </w:pPr>
      <w:r>
        <w:t>R2-5. Finite-Size Scaling Analysis</w:t>
      </w:r>
    </w:p>
    <w:p w14:paraId="5D1C7024" w14:textId="77777777" w:rsidR="005150AD" w:rsidRPr="00D43B55" w:rsidRDefault="00000000">
      <w:pPr>
        <w:pBdr>
          <w:left w:val="single" w:sz="3" w:space="8" w:color="808080"/>
        </w:pBdr>
        <w:spacing w:after="160" w:line="360" w:lineRule="auto"/>
        <w:ind w:left="480"/>
      </w:pPr>
      <w:r>
        <w:rPr>
          <w:rFonts w:eastAsia="Times New Roman"/>
          <w:i/>
          <w:iCs/>
          <w:color w:val="404040"/>
        </w:rPr>
        <w:t>The model runs with a fixed size of N=400 agents, which is a very small sample, especially in the analysis of cascades and phase transitions. To ensure that the observed “Best Game No One Played” phenomenon is a robust collective behavior and not a stochastic artifact of a small system, the authors should provide a finite-size scaling analysis (e.g., testing N=1000, 5000).</w:t>
      </w:r>
    </w:p>
    <w:p w14:paraId="2707071F" w14:textId="77777777" w:rsidR="005150AD" w:rsidRPr="00D43B55" w:rsidRDefault="00000000">
      <w:pPr>
        <w:spacing w:after="160" w:line="360" w:lineRule="auto"/>
      </w:pPr>
      <w:r>
        <w:rPr>
          <w:rFonts w:eastAsia="Times New Roman"/>
        </w:rPr>
        <w:t xml:space="preserve">We agree that establishing robustness with respect to system size is important. We conducted finite-size scaling experiments at N=400 (20×20), N=900 (30×30), N=1,600 (40×40), and N=2,500 (50×50), using identical parameter configurations (avg-of-attitudes=50, std-of-attitudes=15, bounded-confidence=50, avg-of-thresholds swept from 10 to 70, 30 replications per configuration). The results confirm that the “best game no one played” phenomenon—high FRI coexisting with near-zero GSI—persists at all system sizes tested, confirming that the observed </w:t>
      </w:r>
      <w:r>
        <w:rPr>
          <w:rFonts w:eastAsia="Times New Roman"/>
        </w:rPr>
        <w:lastRenderedPageBreak/>
        <w:t>adoption failure is a robust collective behavior rather than a stochastic artifact of the N=400 baseline. The sharp phase transition at avg-of-thresholds between 30 and 40, and the dominance of avg-of-thresholds as the primary determinant of adoption outcomes, hold across all system sizes. We added a note at the end of the sensitivity analysis subsection in Results, and the experimental data are available in the public repository.</w:t>
      </w:r>
    </w:p>
    <w:p w14:paraId="53A8F545" w14:textId="77777777" w:rsidR="005150AD" w:rsidRPr="00D43B55" w:rsidRDefault="005150AD">
      <w:pPr>
        <w:spacing w:after="160" w:line="360" w:lineRule="auto"/>
      </w:pPr>
    </w:p>
    <w:p w14:paraId="13D63D13" w14:textId="77777777" w:rsidR="005150AD" w:rsidRPr="00D43B55" w:rsidRDefault="005150AD">
      <w:pPr>
        <w:spacing w:after="160" w:line="360" w:lineRule="auto"/>
      </w:pPr>
    </w:p>
    <w:p w14:paraId="1CF1AFB0"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w:t>
      </w:r>
      <w:r>
        <w:rPr>
          <w:rFonts w:eastAsia="Times New Roman"/>
        </w:rPr>
        <w:t>A sentence has been added at the end of the sensitivity analysis subsection in the Results section, noting that finite-size scaling experiments at N=900, N=1,600, and N=2,500 confirmed the robustness of all qualitative phenomena, including the opinion–adoption gap, the phase transition at intermediate thresholds, and the dominance of avg-of-thresholds. The raw scaling data are deposited in the public repository.</w:t>
      </w:r>
    </w:p>
    <w:p w14:paraId="7EEDA5BC" w14:textId="77777777" w:rsidR="005150AD" w:rsidRPr="00D43B55" w:rsidRDefault="005150AD">
      <w:pPr>
        <w:pBdr>
          <w:bottom w:val="single" w:sz="1" w:space="0" w:color="CCCCCC"/>
        </w:pBdr>
        <w:spacing w:before="120" w:after="120"/>
      </w:pPr>
    </w:p>
    <w:p w14:paraId="7DFC2357" w14:textId="77777777" w:rsidR="005150AD" w:rsidRPr="00D43B55" w:rsidRDefault="00000000">
      <w:pPr>
        <w:pStyle w:val="2"/>
      </w:pPr>
      <w:r>
        <w:t>R2-6. Operational Definition of Critical Mass</w:t>
      </w:r>
    </w:p>
    <w:p w14:paraId="4CE4BF29" w14:textId="77777777" w:rsidR="005150AD" w:rsidRPr="00D43B55" w:rsidRDefault="00000000">
      <w:pPr>
        <w:pBdr>
          <w:left w:val="single" w:sz="3" w:space="8" w:color="808080"/>
        </w:pBdr>
        <w:spacing w:after="160" w:line="360" w:lineRule="auto"/>
        <w:ind w:left="480"/>
      </w:pPr>
      <w:r>
        <w:rPr>
          <w:rFonts w:eastAsia="Times New Roman"/>
          <w:i/>
          <w:iCs/>
          <w:color w:val="404040"/>
        </w:rPr>
        <w:t>The authors frequently invoke “Critical Mass” (e.g., citing a value of 48 agents in Fig 6a) but fail to provide an operational definition within the model’s formal structure. It is unclear if these values are analytically derived or post hoc observations. The authors should define how “Critical Mass” is computed within the BCAT framework and whether it represents a first or second order phase transition in the adoption density.</w:t>
      </w:r>
    </w:p>
    <w:p w14:paraId="7E8659CA" w14:textId="77777777" w:rsidR="005150AD" w:rsidRPr="00D43B55" w:rsidRDefault="00000000">
      <w:pPr>
        <w:spacing w:after="160" w:line="360" w:lineRule="auto"/>
      </w:pPr>
      <w:r>
        <w:rPr>
          <w:rFonts w:eastAsia="Times New Roman"/>
        </w:rPr>
        <w:t>We thank the reviewer for this observation. We clarify the distinct roles of two terms used in the manuscript. The term “critical mass” is used descriptively, following Oliver et al. (1985), to refer to the minimum number of early adopters sufficient to initiate a self-sustaining adoption cascade. The numerical values cited in Figs. 4 and 6a—17 and 46 adopting agents—are informal observations from individual simulation runs and are not recorded by the simulation as measured quantities. They serve as illustrative descriptions of the cascade dynamics observed in those runs.</w:t>
      </w:r>
    </w:p>
    <w:p w14:paraId="032F88AE" w14:textId="77777777" w:rsidR="005150AD" w:rsidRPr="00D43B55" w:rsidRDefault="00000000">
      <w:pPr>
        <w:spacing w:after="160" w:line="360" w:lineRule="auto"/>
      </w:pPr>
      <w:r>
        <w:rPr>
          <w:rFonts w:eastAsia="Times New Roman"/>
        </w:rPr>
        <w:t xml:space="preserve">The term “critical point,” by contrast, has a precise operational definition within the BCAT framework and is directly recorded by the simulation. We define the critical point (t*) as the first time step at which GSI exceeds 0.5—that is, the first t at which adopters form a strict majority. The simulation computes and displays this value in real time, and records it in the output of each run. When t* is never reached, it is recorded as zero, indicating that the adoption process failed to achieve majority diffusion. We added an explicit definition of the critical point to the Results </w:t>
      </w:r>
      <w:r>
        <w:rPr>
          <w:rFonts w:eastAsia="Times New Roman"/>
        </w:rPr>
        <w:lastRenderedPageBreak/>
        <w:t>section of the revised manuscript.</w:t>
      </w:r>
    </w:p>
    <w:p w14:paraId="519B3D12" w14:textId="77777777" w:rsidR="005150AD" w:rsidRPr="00D43B55" w:rsidRDefault="00000000">
      <w:pPr>
        <w:spacing w:after="160" w:line="360" w:lineRule="auto"/>
      </w:pPr>
      <w:r>
        <w:rPr>
          <w:rFonts w:eastAsia="Times New Roman"/>
        </w:rPr>
        <w:t>Regarding the phase transition characterization, the mechanism decomposition experiments (described in our response to R1-2) document a sharp transition in GSI between avg-of-thresholds = 30 and 40, and the finite-size scaling experiments (R2-5) confirm that this transition persists across system sizes N = 400 through N = 2,500.</w:t>
      </w:r>
    </w:p>
    <w:p w14:paraId="4B82CEC8"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(Results, evaluation metrics subsection): </w:t>
      </w:r>
      <w:r>
        <w:rPr>
          <w:rFonts w:eastAsia="Times New Roman"/>
        </w:rPr>
        <w:t>A new paragraph defining the critical point (t*) as the first time step at which GSI exceeds 0.5 has been added after the FRI/GSI definitions. The definition notes that t* = 0 when the threshold is never reached, indicating the “best game no one played” outcome.</w:t>
      </w:r>
    </w:p>
    <w:p w14:paraId="7443A712" w14:textId="77777777" w:rsidR="005150AD" w:rsidRPr="00D43B55" w:rsidRDefault="005150AD">
      <w:pPr>
        <w:pBdr>
          <w:left w:val="single" w:sz="3" w:space="8" w:color="2E75B6"/>
        </w:pBdr>
        <w:spacing w:after="160" w:line="360" w:lineRule="auto"/>
        <w:ind w:left="480"/>
      </w:pPr>
    </w:p>
    <w:p w14:paraId="626D4444" w14:textId="77777777" w:rsidR="005150AD" w:rsidRPr="00D43B55" w:rsidRDefault="005150AD">
      <w:pPr>
        <w:pBdr>
          <w:bottom w:val="single" w:sz="1" w:space="0" w:color="CCCCCC"/>
        </w:pBdr>
        <w:spacing w:before="120" w:after="120"/>
      </w:pPr>
    </w:p>
    <w:p w14:paraId="14E0BFBE" w14:textId="77777777" w:rsidR="005150AD" w:rsidRPr="00D43B55" w:rsidRDefault="00000000">
      <w:pPr>
        <w:pStyle w:val="2"/>
      </w:pPr>
      <w:r>
        <w:t>R2-7. Real-World Cases and Comparison with Alternative Coupled Models</w:t>
      </w:r>
    </w:p>
    <w:p w14:paraId="0D28AA1A" w14:textId="77777777" w:rsidR="005150AD" w:rsidRPr="00D43B55" w:rsidRDefault="00000000">
      <w:pPr>
        <w:pBdr>
          <w:left w:val="single" w:sz="3" w:space="8" w:color="808080"/>
        </w:pBdr>
        <w:spacing w:after="160" w:line="360" w:lineRule="auto"/>
        <w:ind w:left="480"/>
      </w:pPr>
      <w:r>
        <w:rPr>
          <w:rFonts w:eastAsia="Times New Roman"/>
          <w:i/>
          <w:iCs/>
          <w:color w:val="404040"/>
        </w:rPr>
        <w:t>The real-world cases (Palm, Taiwanese cinema) are used only as anecdotal motivation. The authors should explicitly discuss the limitations of mapping the 1–100 attitude scale to real-world consumer data. Furthermore, they should briefly compare BCAT’s quantitative behavior with existing coupled models (e.g., voter models with inertia or modified SIS/SIR frameworks).</w:t>
      </w:r>
    </w:p>
    <w:p w14:paraId="6C126542" w14:textId="77777777" w:rsidR="005150AD" w:rsidRPr="00D43B55" w:rsidRDefault="00000000">
      <w:pPr>
        <w:spacing w:after="160" w:line="360" w:lineRule="auto"/>
      </w:pPr>
      <w:r>
        <w:rPr>
          <w:rFonts w:eastAsia="Times New Roman"/>
        </w:rPr>
        <w:t>The first part of this comment—regarding real-world cases and the limitations of the attitude scale—is addressed in our response to R1-3, where we describe the three case-specific paragraphs added to the Discussion section that revisit the motivating cases with qualitative parameter mappings. The discretization equivalence of the 1–100 attitude scale is addressed in our responses to R2-1 and R2-3.</w:t>
      </w:r>
    </w:p>
    <w:p w14:paraId="18C38F90" w14:textId="77777777" w:rsidR="005150AD" w:rsidRPr="00D43B55" w:rsidRDefault="00000000">
      <w:pPr>
        <w:spacing w:after="160" w:line="360" w:lineRule="auto"/>
      </w:pPr>
      <w:r>
        <w:rPr>
          <w:rFonts w:eastAsia="Times New Roman"/>
        </w:rPr>
        <w:t>Regarding the comparison with alternative coupled models, we added a paragraph in the Discussion section (following the alternative theories comparison responding to R1-4) that contrasts BCAT with voter models with inertia and SIS/SIR epidemic frameworks:</w:t>
      </w:r>
    </w:p>
    <w:p w14:paraId="21674116" w14:textId="77777777" w:rsidR="005150AD" w:rsidRPr="00D43B55" w:rsidRDefault="00000000">
      <w:pPr>
        <w:spacing w:after="160" w:line="360" w:lineRule="auto"/>
      </w:pPr>
      <w:r>
        <w:rPr>
          <w:rFonts w:eastAsia="Times New Roman"/>
          <w:b/>
          <w:bCs/>
        </w:rPr>
        <w:t xml:space="preserve">Voter models with inertia </w:t>
      </w:r>
      <w:r>
        <w:rPr>
          <w:rFonts w:eastAsia="Times New Roman"/>
        </w:rPr>
        <w:t xml:space="preserve">(e.g., the constrained voter model of Stark et al., 2008) introduce a persistence parameter that makes agents less likely to switch opinions, generating longer consensus times and metastable states. However, voter models operate on binary state spaces (adopt/not-adopt or pro/con) and cannot represent the continuous spectrum of attitude intensity central to the “best game no one played” phenomenon. In BCAT, two agents may both hold </w:t>
      </w:r>
      <w:r>
        <w:rPr>
          <w:rFonts w:eastAsia="Times New Roman"/>
        </w:rPr>
        <w:lastRenderedPageBreak/>
        <w:t>positive attitudes (e.g., att = 55 and att = 90) yet differ substantially in their proximity to the adoption eligibility threshold—a distinction that binary models cannot capture.</w:t>
      </w:r>
    </w:p>
    <w:p w14:paraId="11389E32" w14:textId="77777777" w:rsidR="005150AD" w:rsidRPr="00D43B55" w:rsidRDefault="00000000">
      <w:pPr>
        <w:spacing w:after="160" w:line="360" w:lineRule="auto"/>
      </w:pPr>
      <w:r>
        <w:rPr>
          <w:rFonts w:eastAsia="Times New Roman"/>
          <w:b/>
          <w:bCs/>
        </w:rPr>
        <w:t xml:space="preserve">SIS/SIR epidemic frameworks </w:t>
      </w:r>
      <w:r>
        <w:rPr>
          <w:rFonts w:eastAsia="Times New Roman"/>
        </w:rPr>
        <w:t>model adoption as a contagion process where contact with an adopter probabilistically “infects” non-adopters. While these models naturally generate S-shaped adoption curves and can incorporate heterogeneous transmission rates, they fundamentally lack an attitude layer: any susceptible agent who contacts an adopter may adopt with some probability, regardless of private attitude. The BCAT model, by contrast, decouples attitude formation from the adoption decision, requiring both a positive attitude and sufficient neighbor adoption as independent preconditions. This two-layer structure enables the model’s signature finding: the coexistence of favorable attitudes with failed adoption—a phenomenon that SIS/SIR models cannot produce by construction, since in those frameworks high “exposure” (analogous to positive local attitudes) mechanically leads to high adoption.</w:t>
      </w:r>
    </w:p>
    <w:p w14:paraId="4419964B" w14:textId="77777777" w:rsidR="005150AD" w:rsidRPr="00D43B55" w:rsidRDefault="00000000">
      <w:pPr>
        <w:pBdr>
          <w:left w:val="single" w:sz="3" w:space="8" w:color="2E75B6"/>
        </w:pBdr>
        <w:spacing w:after="160" w:line="360" w:lineRule="auto"/>
        <w:ind w:left="480"/>
      </w:pPr>
      <w:r>
        <w:rPr>
          <w:rFonts w:eastAsia="Times New Roman"/>
          <w:b/>
          <w:bCs/>
          <w:color w:val="2E75B6"/>
        </w:rPr>
        <w:t>Manuscript change (Discussion, after alternative theories paragraphs):</w:t>
      </w:r>
      <w:r>
        <w:rPr>
          <w:rFonts w:eastAsia="Times New Roman"/>
        </w:rPr>
        <w:t>"We further distinguish BCAT from two classes of coupled dynamical models. Voter models with inertia (Stark et al., 2008) generate metastable heterogeneous states but operate on binary opinion spaces, precluding the continuous attitude variation that allows BCAT to capture nuanced scenarios where agents hold positive but insufficiently strong attitudes. SIS/SIR epidemic frameworks treat adoption as a probabilistic contagion process without an independent attitude layer; any contact with an adopter may trigger adoption regardless of private sentiment. By contrast, BCAT’s two-layer architecture—requiring both positive attitude and sufficient neighbor adoption—enables the emergence of the opinion–adoption gap, a phenomenon structurally absent from single-layer contagion models."</w:t>
      </w:r>
    </w:p>
    <w:p w14:paraId="24A78294" w14:textId="77777777" w:rsidR="005150AD" w:rsidRPr="00D43B55" w:rsidRDefault="005150AD">
      <w:pPr>
        <w:pBdr>
          <w:bottom w:val="single" w:sz="1" w:space="0" w:color="CCCCCC"/>
        </w:pBdr>
        <w:spacing w:before="120" w:after="120"/>
      </w:pPr>
    </w:p>
    <w:p w14:paraId="49493E9B" w14:textId="77777777" w:rsidR="005150AD" w:rsidRPr="00D43B55" w:rsidRDefault="00000000">
      <w:pPr>
        <w:pStyle w:val="2"/>
      </w:pPr>
      <w:r>
        <w:t>R2-8. Reference Error: Gong et al. (2020)</w:t>
      </w:r>
    </w:p>
    <w:p w14:paraId="19F3AE28" w14:textId="77777777" w:rsidR="005150AD" w:rsidRPr="00D43B55" w:rsidRDefault="00000000">
      <w:pPr>
        <w:pBdr>
          <w:left w:val="single" w:sz="3" w:space="8" w:color="808080"/>
        </w:pBdr>
        <w:spacing w:after="160" w:line="360" w:lineRule="auto"/>
        <w:ind w:left="480"/>
      </w:pPr>
      <w:r>
        <w:rPr>
          <w:rFonts w:eastAsia="Times New Roman"/>
          <w:i/>
          <w:iCs/>
          <w:color w:val="404040"/>
        </w:rPr>
        <w:t>Reference “Gong et al. (2020)” has a mistake. The title field contains a fragment of a footnote regarding NetLogo source code modification. Correct or replace this bibliographic entry.</w:t>
      </w:r>
    </w:p>
    <w:p w14:paraId="346CF2F3" w14:textId="77777777" w:rsidR="005150AD" w:rsidRPr="00D43B55" w:rsidRDefault="00000000">
      <w:pPr>
        <w:spacing w:after="160" w:line="360" w:lineRule="auto"/>
      </w:pPr>
      <w:r>
        <w:rPr>
          <w:rFonts w:eastAsia="Times New Roman"/>
        </w:rPr>
        <w:t>As noted in our response to R1-Minor, we corrected this error. The title field was inadvertently overwritten by a code-related footnote during manuscript preparation. The corrected reference entry now contains the verified title and complete bibliographic information.</w:t>
      </w:r>
    </w:p>
    <w:p w14:paraId="52B11384" w14:textId="77777777" w:rsidR="005150AD" w:rsidRPr="00D43B55" w:rsidRDefault="00000000">
      <w:pPr>
        <w:pBdr>
          <w:left w:val="single" w:sz="3" w:space="8" w:color="2E75B6"/>
        </w:pBdr>
        <w:spacing w:after="160" w:line="360" w:lineRule="auto"/>
        <w:ind w:left="480"/>
      </w:pPr>
      <w:r>
        <w:rPr>
          <w:rFonts w:eastAsia="Times New Roman"/>
          <w:b/>
          <w:bCs/>
          <w:color w:val="2E75B6"/>
        </w:rPr>
        <w:t xml:space="preserve">Manuscript change: </w:t>
      </w:r>
      <w:r>
        <w:rPr>
          <w:rFonts w:eastAsia="Times New Roman"/>
        </w:rPr>
        <w:t xml:space="preserve">The reference entry for Gong et al. (2020) has been corrected. See </w:t>
      </w:r>
      <w:r>
        <w:rPr>
          <w:rFonts w:eastAsia="Times New Roman"/>
        </w:rPr>
        <w:lastRenderedPageBreak/>
        <w:t>response to R1-Minor for details.</w:t>
      </w:r>
    </w:p>
    <w:p w14:paraId="6E46947A" w14:textId="77777777" w:rsidR="005150AD" w:rsidRPr="00D43B55" w:rsidRDefault="00000000">
      <w:r>
        <w:br w:type="page"/>
      </w:r>
    </w:p>
    <w:p w14:paraId="24BB113F" w14:textId="77777777" w:rsidR="005150AD" w:rsidRPr="00D43B55" w:rsidRDefault="00000000">
      <w:pPr>
        <w:pStyle w:val="1"/>
      </w:pPr>
      <w:r>
        <w:lastRenderedPageBreak/>
        <w:t>Part IV: Summary of All Manuscript Changes</w:t>
      </w:r>
    </w:p>
    <w:p w14:paraId="37915A5B" w14:textId="77777777" w:rsidR="005150AD" w:rsidRPr="00D43B55" w:rsidRDefault="00000000">
      <w:pPr>
        <w:spacing w:after="160" w:line="360" w:lineRule="auto"/>
      </w:pPr>
      <w:r>
        <w:rPr>
          <w:rFonts w:eastAsia="Times New Roman"/>
        </w:rPr>
        <w:t>For the convenience of the reviewers and the editor, we summarize below all structural and substantive changes made to the revised manuscript:</w:t>
      </w:r>
    </w:p>
    <w:p w14:paraId="5E441EF0" w14:textId="77777777" w:rsidR="005150AD" w:rsidRPr="00D43B55" w:rsidRDefault="00000000">
      <w:pPr>
        <w:spacing w:after="120" w:line="340" w:lineRule="auto"/>
        <w:ind w:left="360" w:hanging="360"/>
      </w:pPr>
      <w:r>
        <w:rPr>
          <w:rFonts w:eastAsia="Times New Roman"/>
          <w:b/>
          <w:bCs/>
        </w:rPr>
        <w:t xml:space="preserve">1. </w:t>
      </w:r>
      <w:r>
        <w:rPr>
          <w:rFonts w:eastAsia="Times New Roman"/>
        </w:rPr>
        <w:t>New paragraphs in Related Models and Simulation Model Specifications sections — articulating why bounded confidence is the theoretically necessary complement to adoption thresholds (vs. DeGroot and voter model alternatives), and identifying the dual-filter mechanism and adoption-to-opinion feedback loop as emergent properties of the combined framework. (Responding to R1-1)</w:t>
      </w:r>
    </w:p>
    <w:p w14:paraId="7663BAC5" w14:textId="77777777" w:rsidR="005150AD" w:rsidRPr="00D43B55" w:rsidRDefault="00000000">
      <w:pPr>
        <w:spacing w:after="120" w:line="340" w:lineRule="auto"/>
        <w:ind w:left="360" w:hanging="360"/>
      </w:pPr>
      <w:r>
        <w:rPr>
          <w:rFonts w:eastAsia="Times New Roman"/>
          <w:b/>
          <w:bCs/>
        </w:rPr>
        <w:t xml:space="preserve">2. </w:t>
      </w:r>
      <w:r>
        <w:rPr>
          <w:rFonts w:eastAsia="Times New Roman"/>
        </w:rPr>
        <w:t>Revised Related Models section: Distinguished the Deffuant RA model (Equations 1–2, retained as literature context) from the BCAT implementation (simple Deffuant BC variant); new positioning paragraph and Table 1 comparing HK, Deffuant RA, and BCAT across eight dimensions; rewritten Algorithm 3 description with explicit update rule; Deffuant et al. (2000) reference added. (Responding to R2-1)</w:t>
      </w:r>
    </w:p>
    <w:p w14:paraId="6B0112BF" w14:textId="77777777" w:rsidR="005150AD" w:rsidRPr="00D43B55" w:rsidRDefault="00000000">
      <w:pPr>
        <w:spacing w:after="120" w:line="340" w:lineRule="auto"/>
        <w:ind w:left="360" w:hanging="360"/>
      </w:pPr>
      <w:r>
        <w:rPr>
          <w:rFonts w:eastAsia="Times New Roman"/>
          <w:b/>
          <w:bCs/>
        </w:rPr>
        <w:t xml:space="preserve">3. </w:t>
      </w:r>
      <w:r>
        <w:rPr>
          <w:rFonts w:eastAsia="Times New Roman"/>
        </w:rPr>
        <w:t>Revised Simulation Model Specifications section: Relocated Evaluation Indicators (FRI, GSI, critical point definitions) and Emergent Properties (dual-filter mechanism, feedback loop) from Results to end of this section, ensuring all terms are defined before first use. Added pseudo-concurrent update scheme specification, threshold scaling conversion, and section roadmap. Pre-definition references to BCAT in the Related Models section replaced with descriptive language. (Responding to R2-2, R2-3, R2-6, and structural revision)</w:t>
      </w:r>
    </w:p>
    <w:p w14:paraId="23391AE8" w14:textId="77777777" w:rsidR="005150AD" w:rsidRPr="00D43B55" w:rsidRDefault="00000000">
      <w:pPr>
        <w:spacing w:after="120" w:line="340" w:lineRule="auto"/>
        <w:ind w:left="360" w:hanging="360"/>
      </w:pPr>
      <w:r>
        <w:rPr>
          <w:rFonts w:eastAsia="Times New Roman"/>
          <w:b/>
          <w:bCs/>
        </w:rPr>
        <w:t xml:space="preserve">4. </w:t>
      </w:r>
      <w:r>
        <w:rPr>
          <w:rFonts w:eastAsia="Times New Roman"/>
        </w:rPr>
        <w:t>New subsection “Mechanism decomposition: Coordination failure versus opinion clustering” in Results — three controlled experiments (MD-A/B/C, 30,000 runs) with new Fig 10, plus new Discussion paragraph on intervention implications. (Responding to R1-2)</w:t>
      </w:r>
    </w:p>
    <w:p w14:paraId="60C9F0F3" w14:textId="77777777" w:rsidR="005150AD" w:rsidRPr="00D43B55" w:rsidRDefault="00000000">
      <w:pPr>
        <w:spacing w:after="120" w:line="340" w:lineRule="auto"/>
        <w:ind w:left="360" w:hanging="360"/>
      </w:pPr>
      <w:r>
        <w:rPr>
          <w:rFonts w:eastAsia="Times New Roman"/>
          <w:b/>
          <w:bCs/>
        </w:rPr>
        <w:t xml:space="preserve">5. </w:t>
      </w:r>
      <w:r>
        <w:rPr>
          <w:rFonts w:eastAsia="Times New Roman"/>
        </w:rPr>
        <w:t>Finite-size scaling note added to sensitivity analysis subsection — experiments at N=900, 1,600, and 2,500 confirm robustness of all qualitative phenomena. (Responding to R2-5)</w:t>
      </w:r>
    </w:p>
    <w:p w14:paraId="3E2D7CBC" w14:textId="77777777" w:rsidR="005150AD" w:rsidRPr="00D43B55" w:rsidRDefault="00000000">
      <w:pPr>
        <w:spacing w:after="120" w:line="340" w:lineRule="auto"/>
        <w:ind w:left="360" w:hanging="360"/>
      </w:pPr>
      <w:r>
        <w:rPr>
          <w:rFonts w:eastAsia="Times New Roman"/>
          <w:b/>
          <w:bCs/>
        </w:rPr>
        <w:t xml:space="preserve">6. </w:t>
      </w:r>
      <w:r>
        <w:rPr>
          <w:rFonts w:eastAsia="Times New Roman"/>
        </w:rPr>
        <w:t>Structural revision: All terms (BCAT, FRI, GSI) now follow the “define before first use” principle. Pre-definition references to BCAT in the Related Models section replaced with descriptive language; Evaluation Indicators and Emergent Properties subsections relocated from Results to end of Simulation Model Specifications.</w:t>
      </w:r>
    </w:p>
    <w:p w14:paraId="721705B2" w14:textId="77777777" w:rsidR="005150AD" w:rsidRPr="00D43B55" w:rsidRDefault="00000000">
      <w:pPr>
        <w:spacing w:after="120" w:line="340" w:lineRule="auto"/>
        <w:ind w:left="360" w:hanging="360"/>
      </w:pPr>
      <w:r>
        <w:rPr>
          <w:rFonts w:eastAsia="Times New Roman"/>
          <w:b/>
          <w:bCs/>
        </w:rPr>
        <w:t xml:space="preserve">7. </w:t>
      </w:r>
      <w:r>
        <w:rPr>
          <w:rFonts w:eastAsia="Times New Roman"/>
        </w:rPr>
        <w:t>Revised Table 3: Algorithm identification (Random Forest, 100 trees), standard errors for Feature Importance (±SE ≤ 0.001), corrected Parameter Importance values (Pearson correlations), verified data alignment, dual threshold scaling notation, and a footnote explaining why Parameter Importance and Standardized Regression values are nearly identical (orthogonal predictor design). (Responding to R2-4, R2-3)</w:t>
      </w:r>
    </w:p>
    <w:p w14:paraId="78426FDA" w14:textId="77777777" w:rsidR="005150AD" w:rsidRPr="00D43B55" w:rsidRDefault="00000000">
      <w:pPr>
        <w:spacing w:after="120" w:line="340" w:lineRule="auto"/>
        <w:ind w:left="360" w:hanging="360"/>
      </w:pPr>
      <w:r>
        <w:rPr>
          <w:rFonts w:eastAsia="Times New Roman"/>
          <w:b/>
          <w:bCs/>
        </w:rPr>
        <w:lastRenderedPageBreak/>
        <w:t xml:space="preserve">8. </w:t>
      </w:r>
      <w:r>
        <w:rPr>
          <w:rFonts w:eastAsia="Times New Roman"/>
        </w:rPr>
        <w:t>Three case-specific paragraphs in Discussion — Palm (avg-of-thresholds + Fig 5), Taiwanese film (avg-of-attitudes + Fig 8c–d), SOA (bounded-confidence + Fig 8a–b). (Responding to R1-3, R2-7)</w:t>
      </w:r>
    </w:p>
    <w:p w14:paraId="27C9F782" w14:textId="77777777" w:rsidR="005150AD" w:rsidRPr="00D43B55" w:rsidRDefault="00000000">
      <w:pPr>
        <w:spacing w:after="120" w:line="340" w:lineRule="auto"/>
        <w:ind w:left="360" w:hanging="360"/>
      </w:pPr>
      <w:r>
        <w:rPr>
          <w:rFonts w:eastAsia="Times New Roman"/>
          <w:b/>
          <w:bCs/>
        </w:rPr>
        <w:t xml:space="preserve">9. </w:t>
      </w:r>
      <w:r>
        <w:rPr>
          <w:rFonts w:eastAsia="Times New Roman"/>
        </w:rPr>
        <w:t>New Discussion paragraphs: Alternative theories and distinguishing predictions — systematic comparison with Banerjee (1992), Katz &amp; Shapiro (1985), Morris &amp; Shin (2003), with testable discriminating predictions for each. (Responding to R1-4, R2-7)</w:t>
      </w:r>
    </w:p>
    <w:p w14:paraId="0A28ECB4" w14:textId="77777777" w:rsidR="005150AD" w:rsidRPr="00D43B55" w:rsidRDefault="00000000">
      <w:pPr>
        <w:spacing w:after="120" w:line="340" w:lineRule="auto"/>
        <w:ind w:left="360" w:hanging="360"/>
      </w:pPr>
      <w:r>
        <w:rPr>
          <w:rFonts w:eastAsia="Times New Roman"/>
          <w:b/>
          <w:bCs/>
        </w:rPr>
        <w:t xml:space="preserve">10. </w:t>
      </w:r>
      <w:r>
        <w:rPr>
          <w:rFonts w:eastAsia="Times New Roman"/>
        </w:rPr>
        <w:t>New Fig 10: Two-panel mechanism decomposition on regular lattice showing (a) MD-A coordination failure profile with phase transition, and (b) MD-C stacked decomposition of total adoption gap. (Responding to R1-2)</w:t>
      </w:r>
    </w:p>
    <w:p w14:paraId="5F0D6AE3" w14:textId="77777777" w:rsidR="005150AD" w:rsidRPr="00D43B55" w:rsidRDefault="00000000">
      <w:pPr>
        <w:spacing w:after="120" w:line="340" w:lineRule="auto"/>
        <w:ind w:left="360" w:hanging="360"/>
      </w:pPr>
      <w:r>
        <w:rPr>
          <w:rFonts w:eastAsia="Times New Roman"/>
          <w:b/>
          <w:bCs/>
        </w:rPr>
        <w:t xml:space="preserve">11. </w:t>
      </w:r>
      <w:r>
        <w:rPr>
          <w:rFonts w:eastAsia="Times New Roman"/>
        </w:rPr>
        <w:t>New Discussion paragraph comparing BCAT with voter models with inertia and SIS/SIR epidemic frameworks. (Responding to R2-7)</w:t>
      </w:r>
    </w:p>
    <w:p w14:paraId="20CA7AD5" w14:textId="77777777" w:rsidR="005150AD" w:rsidRPr="00D43B55" w:rsidRDefault="00000000">
      <w:pPr>
        <w:spacing w:after="120" w:line="340" w:lineRule="auto"/>
        <w:ind w:left="360" w:hanging="360"/>
      </w:pPr>
      <w:r>
        <w:rPr>
          <w:rFonts w:eastAsia="Times New Roman"/>
          <w:b/>
          <w:bCs/>
        </w:rPr>
        <w:t xml:space="preserve">12. </w:t>
      </w:r>
      <w:r>
        <w:rPr>
          <w:rFonts w:eastAsia="Times New Roman"/>
        </w:rPr>
        <w:t>Replaced Figures 2, 4, 5, 6, 10, 11: NetLogo GUI screenshots replaced with author-generated Python/matplotlib visualizations. (Responding to JR-5)</w:t>
      </w:r>
    </w:p>
    <w:p w14:paraId="12D6F43B" w14:textId="77777777" w:rsidR="005150AD" w:rsidRPr="00D43B55" w:rsidRDefault="00000000">
      <w:pPr>
        <w:spacing w:after="120" w:line="340" w:lineRule="auto"/>
        <w:ind w:left="360" w:hanging="360"/>
      </w:pPr>
      <w:r>
        <w:rPr>
          <w:rFonts w:eastAsia="Times New Roman"/>
          <w:b/>
          <w:bCs/>
        </w:rPr>
        <w:t xml:space="preserve">13. </w:t>
      </w:r>
      <w:r>
        <w:rPr>
          <w:rFonts w:eastAsia="Times New Roman"/>
        </w:rPr>
        <w:t>Corrected reference: Gong et al. (2020) bibliographic entry. (Responding to R1-Minor, R2-8)</w:t>
      </w:r>
    </w:p>
    <w:p w14:paraId="5B642D69" w14:textId="77777777" w:rsidR="005150AD" w:rsidRPr="00D43B55" w:rsidRDefault="00000000">
      <w:pPr>
        <w:spacing w:after="120" w:line="340" w:lineRule="auto"/>
        <w:ind w:left="360" w:hanging="360"/>
      </w:pPr>
      <w:r>
        <w:rPr>
          <w:rFonts w:eastAsia="Times New Roman"/>
          <w:b/>
          <w:bCs/>
        </w:rPr>
        <w:t xml:space="preserve">14. </w:t>
      </w:r>
      <w:r>
        <w:rPr>
          <w:rFonts w:eastAsia="Times New Roman"/>
        </w:rPr>
        <w:t>Added references: Banerjee (1992), Golub &amp; Jackson (2010, 2012), Cheng et al. (2026), Katz &amp; Shapiro (1985), Morris &amp; Shin (2003), Berenbrink et al. (2024). (Responding to JR-6)</w:t>
      </w:r>
    </w:p>
    <w:p w14:paraId="2D2EF4E8" w14:textId="77777777" w:rsidR="005150AD" w:rsidRPr="00D43B55" w:rsidRDefault="00000000">
      <w:pPr>
        <w:spacing w:after="120" w:line="340" w:lineRule="auto"/>
        <w:ind w:left="360" w:hanging="360"/>
      </w:pPr>
      <w:r>
        <w:rPr>
          <w:rFonts w:eastAsia="Times New Roman"/>
          <w:b/>
          <w:bCs/>
        </w:rPr>
        <w:t xml:space="preserve">15. </w:t>
      </w:r>
      <w:r>
        <w:rPr>
          <w:rFonts w:eastAsia="Times New Roman"/>
        </w:rPr>
        <w:t>LaTeX conversion: Entire manuscript reformatted using PLOS ONE LaTeX template. (Responding to JR-3)</w:t>
      </w:r>
    </w:p>
    <w:p w14:paraId="7D762100" w14:textId="77777777" w:rsidR="005150AD" w:rsidRPr="00D43B55" w:rsidRDefault="00000000">
      <w:pPr>
        <w:spacing w:after="120" w:line="340" w:lineRule="auto"/>
        <w:ind w:left="360" w:hanging="360"/>
      </w:pPr>
      <w:r>
        <w:rPr>
          <w:rFonts w:eastAsia="Times New Roman"/>
          <w:b/>
          <w:bCs/>
        </w:rPr>
        <w:t xml:space="preserve">16. </w:t>
      </w:r>
      <w:r>
        <w:t>Code and data: Public GitHub repository with Zenodo DOI. Four Supporting Information files accompany the manuscript: S1 File (sensitivity analysis simulation data across four network topologies, N = 100,548 total observations, underlying Table 3 and Figs 7–9), S2 File (mechanism decomposition experiment data for MD-A/B/C on regular lattice and small-world topologies, 30,000 total runs, underlying Fig 10), S3 File (finite-size scaling experiment data at N = 400 to 2,500, confirming robustness of all qualitative phenomena), and S4 File (Python scripts for reproducing all reported statistical analyses and figures from the raw data in S1–S3 Files). (Responding to JR-2, JR-4)</w:t>
      </w:r>
    </w:p>
    <w:p w14:paraId="3B000017" w14:textId="77777777" w:rsidR="005150AD" w:rsidRPr="00D43B55" w:rsidRDefault="00000000">
      <w:pPr>
        <w:spacing w:after="160" w:line="360" w:lineRule="auto"/>
        <w:ind w:left="480"/>
      </w:pPr>
      <w:r>
        <w:rPr>
          <w:rFonts w:eastAsia="Times New Roman"/>
        </w:rPr>
        <w:t>17. Updated Abstract: Added two sentences summarizing the mechanism decomposition findings (testimony effect neutralizes opinion clustering; coordination failure is the dominant driver) and the distinguishing predictions relative to alternative frameworks. (Responding to R1-2, R1-4)</w:t>
      </w:r>
    </w:p>
    <w:p w14:paraId="5124BDA6" w14:textId="77777777" w:rsidR="00170396" w:rsidRDefault="00170396">
      <w:pPr>
        <w:widowControl/>
        <w:rPr>
          <w:b/>
          <w:bCs/>
          <w:sz w:val="28"/>
          <w:szCs w:val="28"/>
        </w:rPr>
      </w:pPr>
      <w:r>
        <w:rPr>
          <w:b/>
          <w:bCs/>
          <w:sz w:val="28"/>
          <w:szCs w:val="28"/>
        </w:rPr>
        <w:br w:type="page"/>
      </w:r>
    </w:p>
    <w:p w14:paraId="01B2C301" w14:textId="520CD3C3" w:rsidR="005150AD" w:rsidRPr="00D43B55" w:rsidRDefault="005150AD">
      <w:pPr>
        <w:spacing w:before="360" w:after="160" w:line="360" w:lineRule="auto"/>
      </w:pPr>
      <w:r>
        <w:rPr>
          <w:b/>
          <w:bCs/>
          <w:sz w:val="28"/>
          <w:szCs w:val="28"/>
        </w:rPr>
        <w:lastRenderedPageBreak/>
        <w:t>References Cited in This Response</w:t>
      </w:r>
    </w:p>
    <w:p w14:paraId="01B2C302" w14:textId="77777777" w:rsidR="005150AD" w:rsidRPr="00D43B55" w:rsidRDefault="00000000">
      <w:pPr>
        <w:spacing w:after="80" w:line="300" w:lineRule="auto"/>
        <w:ind w:left="480" w:hanging="480"/>
        <w:rPr>
          <w:sz w:val="20"/>
          <w:szCs w:val="20"/>
        </w:rPr>
      </w:pPr>
      <w:r>
        <w:rPr>
          <w:sz w:val="20"/>
          <w:szCs w:val="20"/>
        </w:rPr>
        <w:t>Banerjee, A. V. (1992). A simple model of herd behavior. Quarterly Journal of Economics, 107(3), 797–817.</w:t>
      </w:r>
    </w:p>
    <w:p w14:paraId="01B2C303" w14:textId="77777777" w:rsidR="005150AD" w:rsidRPr="00D43B55" w:rsidRDefault="00000000">
      <w:pPr>
        <w:spacing w:after="80" w:line="300" w:lineRule="auto"/>
        <w:ind w:left="480" w:hanging="480"/>
        <w:rPr>
          <w:sz w:val="20"/>
          <w:szCs w:val="20"/>
        </w:rPr>
      </w:pPr>
      <w:r>
        <w:rPr>
          <w:sz w:val="20"/>
          <w:szCs w:val="20"/>
        </w:rPr>
        <w:t>Berenbrink, P., Hoefer, M., Kaaser, D., Lenzner, P., Rau, M., &amp; Schmand, D. (2024). Asynchronous opinion dynamics in social networks. Distributed Computing, 37(3), 207–224.</w:t>
      </w:r>
    </w:p>
    <w:p w14:paraId="01B2C304" w14:textId="77777777" w:rsidR="005150AD" w:rsidRPr="00D43B55" w:rsidRDefault="00000000">
      <w:pPr>
        <w:spacing w:after="80" w:line="300" w:lineRule="auto"/>
        <w:ind w:left="480" w:hanging="480"/>
        <w:rPr>
          <w:sz w:val="20"/>
          <w:szCs w:val="20"/>
        </w:rPr>
      </w:pPr>
      <w:r>
        <w:rPr>
          <w:sz w:val="20"/>
          <w:szCs w:val="20"/>
        </w:rPr>
        <w:t>Cheng, C., Han, X., Tong, X., Wu, Y., &amp; Xing, Y. (2026). Degree-weighted social learning. American Economic Journal: Microeconomics. Forthcoming.</w:t>
      </w:r>
    </w:p>
    <w:p w14:paraId="01B2C305" w14:textId="77777777" w:rsidR="005150AD" w:rsidRPr="00D43B55" w:rsidRDefault="00000000">
      <w:pPr>
        <w:spacing w:after="80" w:line="300" w:lineRule="auto"/>
        <w:ind w:left="480" w:hanging="480"/>
        <w:rPr>
          <w:sz w:val="20"/>
          <w:szCs w:val="20"/>
        </w:rPr>
      </w:pPr>
      <w:r>
        <w:rPr>
          <w:sz w:val="20"/>
          <w:szCs w:val="20"/>
        </w:rPr>
        <w:t>Deffuant, G., Neau, D., Amblard, F., &amp; Weisbuch, G. (2000). Mixing beliefs among interacting agents. Advances in Complex Systems, 3(1–4), 87–98.</w:t>
      </w:r>
    </w:p>
    <w:p w14:paraId="01B2C306" w14:textId="77777777" w:rsidR="005150AD" w:rsidRPr="00D43B55" w:rsidRDefault="00000000">
      <w:pPr>
        <w:spacing w:after="80" w:line="300" w:lineRule="auto"/>
        <w:ind w:left="480" w:hanging="480"/>
        <w:rPr>
          <w:sz w:val="20"/>
          <w:szCs w:val="20"/>
        </w:rPr>
      </w:pPr>
      <w:r>
        <w:rPr>
          <w:sz w:val="20"/>
          <w:szCs w:val="20"/>
        </w:rPr>
        <w:t>Deffuant, G., Amblard, F., Weisbuch, G., &amp; Faure, T. (2002). How can extremism prevail? A study based on the relative agreement interaction model. Journal of Artificial Societies and Social Simulation, 5(4).</w:t>
      </w:r>
    </w:p>
    <w:p w14:paraId="01B2C307" w14:textId="77777777" w:rsidR="005150AD" w:rsidRPr="00D43B55" w:rsidRDefault="00000000">
      <w:pPr>
        <w:spacing w:after="80" w:line="300" w:lineRule="auto"/>
        <w:ind w:left="480" w:hanging="480"/>
        <w:rPr>
          <w:sz w:val="20"/>
          <w:szCs w:val="20"/>
        </w:rPr>
      </w:pPr>
      <w:r>
        <w:rPr>
          <w:sz w:val="20"/>
          <w:szCs w:val="20"/>
        </w:rPr>
        <w:t>Erl, T. (2005). Service-Oriented Architecture: Concepts, Technology, and Design. Prentice Hall PTR.</w:t>
      </w:r>
    </w:p>
    <w:p w14:paraId="01B2C308" w14:textId="77777777" w:rsidR="005150AD" w:rsidRPr="00D43B55" w:rsidRDefault="00000000">
      <w:pPr>
        <w:spacing w:after="80" w:line="300" w:lineRule="auto"/>
        <w:ind w:left="480" w:hanging="480"/>
        <w:rPr>
          <w:sz w:val="20"/>
          <w:szCs w:val="20"/>
        </w:rPr>
      </w:pPr>
      <w:r>
        <w:rPr>
          <w:sz w:val="20"/>
          <w:szCs w:val="20"/>
        </w:rPr>
        <w:t>Golub, B., &amp; Jackson, M. O. (2010). Naïve learning in social networks and the wisdom of crowds. American Economic Journal: Microeconomics, 2(1), 112–149.</w:t>
      </w:r>
    </w:p>
    <w:p w14:paraId="01B2C309" w14:textId="77777777" w:rsidR="005150AD" w:rsidRPr="00D43B55" w:rsidRDefault="00000000">
      <w:pPr>
        <w:spacing w:after="80" w:line="300" w:lineRule="auto"/>
        <w:ind w:left="480" w:hanging="480"/>
        <w:rPr>
          <w:sz w:val="20"/>
          <w:szCs w:val="20"/>
        </w:rPr>
      </w:pPr>
      <w:r>
        <w:rPr>
          <w:sz w:val="20"/>
          <w:szCs w:val="20"/>
        </w:rPr>
        <w:t>Golub, B., &amp; Jackson, M. O. (2012). How homophily affects the speed of learning and best-response dynamics. Quarterly Journal of Economics, 127(3), 1287–1338.</w:t>
      </w:r>
    </w:p>
    <w:p w14:paraId="01B2C30A" w14:textId="77777777" w:rsidR="005150AD" w:rsidRPr="00D43B55" w:rsidRDefault="00000000">
      <w:pPr>
        <w:spacing w:after="80" w:line="300" w:lineRule="auto"/>
        <w:ind w:left="480" w:hanging="480"/>
        <w:rPr>
          <w:sz w:val="20"/>
          <w:szCs w:val="20"/>
        </w:rPr>
      </w:pPr>
      <w:r>
        <w:rPr>
          <w:sz w:val="20"/>
          <w:szCs w:val="20"/>
        </w:rPr>
        <w:t>Katz, M. L., &amp; Shapiro, C. (1985). Network externalities, competition, and compatibility. American Economic Review, 75(3), 424–440.</w:t>
      </w:r>
    </w:p>
    <w:p w14:paraId="01B2C30B" w14:textId="77777777" w:rsidR="005150AD" w:rsidRPr="00D43B55" w:rsidRDefault="00000000">
      <w:pPr>
        <w:spacing w:after="80" w:line="300" w:lineRule="auto"/>
        <w:ind w:left="480" w:hanging="480"/>
        <w:rPr>
          <w:sz w:val="20"/>
          <w:szCs w:val="20"/>
        </w:rPr>
      </w:pPr>
      <w:r>
        <w:rPr>
          <w:sz w:val="20"/>
          <w:szCs w:val="20"/>
        </w:rPr>
        <w:t>McPherson, M., Smith-Lovin, L., &amp; Cook, J. M. (2001). Birds of a feather: Homophily in social networks. Annual Review of Sociology, 27(1), 415–444.</w:t>
      </w:r>
    </w:p>
    <w:p w14:paraId="01B2C30C" w14:textId="77777777" w:rsidR="005150AD" w:rsidRPr="00D43B55" w:rsidRDefault="00000000">
      <w:pPr>
        <w:spacing w:after="80" w:line="300" w:lineRule="auto"/>
        <w:ind w:left="480" w:hanging="480"/>
        <w:rPr>
          <w:sz w:val="20"/>
          <w:szCs w:val="20"/>
        </w:rPr>
      </w:pPr>
      <w:r>
        <w:rPr>
          <w:sz w:val="20"/>
          <w:szCs w:val="20"/>
        </w:rPr>
        <w:t>Morris, S., &amp; Shin, H. S. (2003). Global games: Theory and applications. In M. Dewatripont, L. P. Hansen, &amp; S. J. Turnovsky (Eds.), Advances in Economics and Econometrics (Vol. 1, pp. 56–114). Cambridge University Press.</w:t>
      </w:r>
    </w:p>
    <w:p w14:paraId="01B2C30D" w14:textId="77777777" w:rsidR="005150AD" w:rsidRPr="00D43B55" w:rsidRDefault="00000000">
      <w:pPr>
        <w:spacing w:after="80" w:line="300" w:lineRule="auto"/>
        <w:ind w:left="480" w:hanging="480"/>
        <w:rPr>
          <w:sz w:val="20"/>
          <w:szCs w:val="20"/>
        </w:rPr>
      </w:pPr>
      <w:r>
        <w:rPr>
          <w:sz w:val="20"/>
          <w:szCs w:val="20"/>
        </w:rPr>
        <w:t>Oliver, P., Marwell, G., &amp; Teixeira, R. (1985). A theory of the critical mass. American Journal of Sociology, 91(3), 522–556.</w:t>
      </w:r>
    </w:p>
    <w:p w14:paraId="01B2C30E" w14:textId="77777777" w:rsidR="005150AD" w:rsidRPr="00D43B55" w:rsidRDefault="00000000">
      <w:pPr>
        <w:spacing w:after="80" w:line="300" w:lineRule="auto"/>
        <w:ind w:left="480" w:hanging="480"/>
        <w:rPr>
          <w:sz w:val="20"/>
          <w:szCs w:val="20"/>
        </w:rPr>
      </w:pPr>
      <w:r>
        <w:rPr>
          <w:sz w:val="20"/>
          <w:szCs w:val="20"/>
        </w:rPr>
        <w:t>Rogers, E. M. (2003). Diffusion of Innovations (5th ed.). Free Press.</w:t>
      </w:r>
    </w:p>
    <w:p w14:paraId="01B2C30F" w14:textId="77777777" w:rsidR="005150AD" w:rsidRPr="00D43B55" w:rsidRDefault="00000000">
      <w:pPr>
        <w:spacing w:after="80" w:line="300" w:lineRule="auto"/>
        <w:ind w:left="480" w:hanging="480"/>
        <w:rPr>
          <w:sz w:val="20"/>
          <w:szCs w:val="20"/>
        </w:rPr>
      </w:pPr>
      <w:r>
        <w:rPr>
          <w:sz w:val="20"/>
          <w:szCs w:val="20"/>
        </w:rPr>
        <w:t>Valente, T. W. (1996). Social network thresholds in the diffusion of innovations. Social Networks, 18(1), 69–89.</w:t>
      </w:r>
    </w:p>
    <w:p w14:paraId="01B2C310" w14:textId="77777777" w:rsidR="005150AD" w:rsidRPr="00D43B55" w:rsidRDefault="00000000">
      <w:pPr>
        <w:spacing w:after="80" w:line="300" w:lineRule="auto"/>
        <w:ind w:left="480" w:hanging="480"/>
        <w:rPr>
          <w:sz w:val="20"/>
          <w:szCs w:val="20"/>
        </w:rPr>
      </w:pPr>
      <w:r>
        <w:rPr>
          <w:sz w:val="20"/>
          <w:szCs w:val="20"/>
        </w:rPr>
        <w:t>Watts, D. J. (2004). A simple model of global cascades on random networks. In E. Ostrom &amp; T. K. Ahn (Eds.), Foundations of Social Capital (pp. 316–334). Edward Elgar Publishing.</w:t>
      </w:r>
    </w:p>
    <w:sectPr w:rsidR="005150AD" w:rsidRPr="00D43B55" w:rsidSect="00630B2A">
      <w:pgSz w:w="12240" w:h="15840"/>
      <w:pgMar w:top="1440" w:right="1800" w:bottom="1440" w:left="180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1C72"/>
    <w:multiLevelType w:val="hybridMultilevel"/>
    <w:tmpl w:val="1E32C6A8"/>
    <w:lvl w:ilvl="0" w:tplc="30BAE0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904FF3"/>
    <w:multiLevelType w:val="hybridMultilevel"/>
    <w:tmpl w:val="D6A057B4"/>
    <w:lvl w:ilvl="0" w:tplc="62E430E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AAB0B9A"/>
    <w:multiLevelType w:val="hybridMultilevel"/>
    <w:tmpl w:val="8AC2DC6C"/>
    <w:lvl w:ilvl="0" w:tplc="04090001">
      <w:start w:val="1"/>
      <w:numFmt w:val="bullet"/>
      <w:lvlText w:val=""/>
      <w:lvlJc w:val="left"/>
      <w:pPr>
        <w:ind w:left="3360" w:hanging="480"/>
      </w:pPr>
      <w:rPr>
        <w:rFonts w:ascii="Wingdings" w:hAnsi="Wingdings" w:hint="default"/>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3" w15:restartNumberingAfterBreak="0">
    <w:nsid w:val="3E4A4B1C"/>
    <w:multiLevelType w:val="hybridMultilevel"/>
    <w:tmpl w:val="5E00A028"/>
    <w:lvl w:ilvl="0" w:tplc="9B408624">
      <w:start w:val="1"/>
      <w:numFmt w:val="bullet"/>
      <w:lvlText w:val="●"/>
      <w:lvlJc w:val="left"/>
      <w:pPr>
        <w:ind w:left="720" w:hanging="360"/>
      </w:pPr>
    </w:lvl>
    <w:lvl w:ilvl="1" w:tplc="9C840CAE">
      <w:start w:val="1"/>
      <w:numFmt w:val="bullet"/>
      <w:lvlText w:val="○"/>
      <w:lvlJc w:val="left"/>
      <w:pPr>
        <w:ind w:left="1440" w:hanging="360"/>
      </w:pPr>
    </w:lvl>
    <w:lvl w:ilvl="2" w:tplc="AB3A7A62">
      <w:start w:val="1"/>
      <w:numFmt w:val="bullet"/>
      <w:lvlText w:val="■"/>
      <w:lvlJc w:val="left"/>
      <w:pPr>
        <w:ind w:left="2160" w:hanging="360"/>
      </w:pPr>
    </w:lvl>
    <w:lvl w:ilvl="3" w:tplc="87E03C44">
      <w:start w:val="1"/>
      <w:numFmt w:val="bullet"/>
      <w:lvlText w:val="●"/>
      <w:lvlJc w:val="left"/>
      <w:pPr>
        <w:ind w:left="2880" w:hanging="360"/>
      </w:pPr>
    </w:lvl>
    <w:lvl w:ilvl="4" w:tplc="54E07CDE">
      <w:start w:val="1"/>
      <w:numFmt w:val="bullet"/>
      <w:lvlText w:val="○"/>
      <w:lvlJc w:val="left"/>
      <w:pPr>
        <w:ind w:left="3600" w:hanging="360"/>
      </w:pPr>
    </w:lvl>
    <w:lvl w:ilvl="5" w:tplc="B1CC6D96">
      <w:start w:val="1"/>
      <w:numFmt w:val="bullet"/>
      <w:lvlText w:val="■"/>
      <w:lvlJc w:val="left"/>
      <w:pPr>
        <w:ind w:left="4320" w:hanging="360"/>
      </w:pPr>
    </w:lvl>
    <w:lvl w:ilvl="6" w:tplc="AAAE55B6">
      <w:start w:val="1"/>
      <w:numFmt w:val="bullet"/>
      <w:lvlText w:val="●"/>
      <w:lvlJc w:val="left"/>
      <w:pPr>
        <w:ind w:left="5040" w:hanging="360"/>
      </w:pPr>
    </w:lvl>
    <w:lvl w:ilvl="7" w:tplc="8CD06EAA">
      <w:start w:val="1"/>
      <w:numFmt w:val="bullet"/>
      <w:lvlText w:val="●"/>
      <w:lvlJc w:val="left"/>
      <w:pPr>
        <w:ind w:left="5760" w:hanging="360"/>
      </w:pPr>
    </w:lvl>
    <w:lvl w:ilvl="8" w:tplc="FBEE9494">
      <w:start w:val="1"/>
      <w:numFmt w:val="bullet"/>
      <w:lvlText w:val="●"/>
      <w:lvlJc w:val="left"/>
      <w:pPr>
        <w:ind w:left="6480" w:hanging="360"/>
      </w:pPr>
    </w:lvl>
  </w:abstractNum>
  <w:abstractNum w:abstractNumId="4" w15:restartNumberingAfterBreak="0">
    <w:nsid w:val="635C7FEF"/>
    <w:multiLevelType w:val="hybridMultilevel"/>
    <w:tmpl w:val="9892A422"/>
    <w:lvl w:ilvl="0" w:tplc="F0C8E7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E2845BC"/>
    <w:multiLevelType w:val="hybridMultilevel"/>
    <w:tmpl w:val="EC8E84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71675B4C"/>
    <w:multiLevelType w:val="hybridMultilevel"/>
    <w:tmpl w:val="912CCA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04964174">
    <w:abstractNumId w:val="3"/>
    <w:lvlOverride w:ilvl="0">
      <w:startOverride w:val="1"/>
    </w:lvlOverride>
  </w:num>
  <w:num w:numId="2" w16cid:durableId="970214040">
    <w:abstractNumId w:val="6"/>
  </w:num>
  <w:num w:numId="3" w16cid:durableId="859903193">
    <w:abstractNumId w:val="5"/>
  </w:num>
  <w:num w:numId="4" w16cid:durableId="1457718362">
    <w:abstractNumId w:val="2"/>
  </w:num>
  <w:num w:numId="5" w16cid:durableId="799811363">
    <w:abstractNumId w:val="0"/>
  </w:num>
  <w:num w:numId="6" w16cid:durableId="1694381275">
    <w:abstractNumId w:val="4"/>
  </w:num>
  <w:num w:numId="7" w16cid:durableId="1249772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proofState w:spelling="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0AD"/>
    <w:rsid w:val="0000067E"/>
    <w:rsid w:val="000074ED"/>
    <w:rsid w:val="0002428D"/>
    <w:rsid w:val="0006403B"/>
    <w:rsid w:val="00167C5F"/>
    <w:rsid w:val="00170396"/>
    <w:rsid w:val="00190302"/>
    <w:rsid w:val="001B1A5A"/>
    <w:rsid w:val="001D3EE9"/>
    <w:rsid w:val="00267654"/>
    <w:rsid w:val="00271B7E"/>
    <w:rsid w:val="002A3058"/>
    <w:rsid w:val="003D6BBA"/>
    <w:rsid w:val="003E0F2E"/>
    <w:rsid w:val="004719BC"/>
    <w:rsid w:val="004E5BFD"/>
    <w:rsid w:val="005150AD"/>
    <w:rsid w:val="005A5283"/>
    <w:rsid w:val="005C3719"/>
    <w:rsid w:val="005C4F2C"/>
    <w:rsid w:val="005F6E50"/>
    <w:rsid w:val="00607937"/>
    <w:rsid w:val="00630B2A"/>
    <w:rsid w:val="00651728"/>
    <w:rsid w:val="006D4394"/>
    <w:rsid w:val="00760FB2"/>
    <w:rsid w:val="00786DC9"/>
    <w:rsid w:val="008178F3"/>
    <w:rsid w:val="0088425A"/>
    <w:rsid w:val="008A71A0"/>
    <w:rsid w:val="00904E86"/>
    <w:rsid w:val="009912F2"/>
    <w:rsid w:val="00A01762"/>
    <w:rsid w:val="00AC1575"/>
    <w:rsid w:val="00AE5311"/>
    <w:rsid w:val="00CC71FC"/>
    <w:rsid w:val="00D43B55"/>
    <w:rsid w:val="00D67E08"/>
    <w:rsid w:val="00DC1EB5"/>
    <w:rsid w:val="00E3323F"/>
    <w:rsid w:val="00E86430"/>
    <w:rsid w:val="00EB63D9"/>
    <w:rsid w:val="00F25992"/>
    <w:rsid w:val="00F508C1"/>
    <w:rsid w:val="00FC18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C26E9E8"/>
  <w15:docId w15:val="{914A3A77-3FC5-2349-995F-8439A4D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Times New Roman"/>
      <w:b/>
      <w:bCs/>
      <w:sz w:val="28"/>
      <w:szCs w:val="28"/>
    </w:rPr>
  </w:style>
  <w:style w:type="paragraph" w:styleId="2">
    <w:name w:val="heading 2"/>
    <w:uiPriority w:val="9"/>
    <w:unhideWhenUsed/>
    <w:qFormat/>
    <w:pPr>
      <w:spacing w:before="300" w:after="160"/>
      <w:outlineLvl w:val="1"/>
    </w:pPr>
    <w:rPr>
      <w:rFonts w:eastAsia="Times New Roman"/>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Unresolved Mention"/>
    <w:basedOn w:val="a0"/>
    <w:uiPriority w:val="99"/>
    <w:semiHidden/>
    <w:unhideWhenUsed/>
    <w:rsid w:val="00267654"/>
    <w:rPr>
      <w:color w:val="605E5C"/>
      <w:shd w:val="clear" w:color="auto" w:fill="E1DFDD"/>
    </w:rPr>
  </w:style>
  <w:style w:type="character" w:styleId="ad">
    <w:name w:val="FollowedHyperlink"/>
    <w:basedOn w:val="a0"/>
    <w:uiPriority w:val="99"/>
    <w:semiHidden/>
    <w:unhideWhenUsed/>
    <w:rsid w:val="000640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25</Pages>
  <Words>7746</Words>
  <Characters>46559</Characters>
  <Application>Microsoft Office Word</Application>
  <DocSecurity>0</DocSecurity>
  <Lines>694</Lines>
  <Paragraphs>172</Paragraphs>
  <ScaleCrop>false</ScaleCrop>
  <Company/>
  <LinksUpToDate>false</LinksUpToDate>
  <CharactersWithSpaces>54133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黃崇源</cp:lastModifiedBy>
  <cp:revision>34</cp:revision>
  <dcterms:created xsi:type="dcterms:W3CDTF">2026-03-17T11:34:00Z</dcterms:created>
  <dcterms:modified xsi:type="dcterms:W3CDTF">2026-03-23T00:50:00Z</dcterms:modified>
</cp:coreProperties>
</file>