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hint="eastAsia"/>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have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which includes both the original NetLogo model and a Python 3 reimplementation with pre-configured parameter files for reproducing all reported results. The repository has been archived on Zenodo (DOI: 10.5281/zenodo.19081523) for long-term accessibility. The Data Availability Statement has been updated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Our manuscript has been fully prepared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The Data Availability Statement has been updated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elected option (2). The original figures were screenshots captured from the NetLogo GUI, which may contain copyrighted visual elements belonging to the NetLogo platform. To resolve this, we re-implemented the BCAT model in Python 3 and regenerated all six figures (Figs 2, 4, 5, 6, 10, 11) using our own Python-based visualization. The revised figures present equivalent simulation results under identical parameter configurations, and all visual elements are entirely original works by the authors.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fully agree that the original manuscript presented the two model components too modularly, leaving the reader to infer their interaction logic from the pseudocode. In the revised manuscript, we have added two new paragraphs—one at the end of the Related Models section and one at the opening of the Simulation Model Specifications section—that explicitly articulate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are absent from either component alone. The most important is the </w:t>
      </w:r>
      <w:r>
        <w:rPr>
          <w:rFonts w:ascii="Arial" w:eastAsia="Times New Roman" w:hAnsi="Arial" w:cs="Arial"/>
          <w:b/>
          <w:bCs/>
        </w:rPr>
        <w:t>bidirectional feedback loop between adoption status and opinion exchange</w:t>
      </w:r>
      <w:r>
        <w:rPr>
          <w:rFonts w:ascii="Arial" w:eastAsia="Times New Roman" w:hAnsi="Arial" w:cs="Arial"/>
        </w:rPr>
        <w:t xml:space="preserve">. In the BCAT model, the opinion exchange rules are conditioned on the adoption statuses of </w:t>
        <w:lastRenderedPageBreak/>
        <w:t>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are grateful for this incisive identification of the two distinct mechanism channels. We fully agree that disentangling their respective contributions substantially deepens the paper’s theoretical contribution. Following the reviewer’s suggestion, we designed and conducted three controlled mechanism decomposition experiments (MD-A, MD-B, MD-C) within the existing BCAT simulation framework, exploiting parameter configurations that selectively disable one channel while preserving the other. Results are reported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Because the attitude distance between pioneers (att = 100) and non-pioneers (att = 81) equals 19, which exceeds the communication threshold,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opinion dynamics operates in complete isolation from adoption feedback. We used avg-of-attitudes = 50, std-of-attitudes = 15,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Consequently, the opinion clustering contribution (1 − FRI) to the total gap is negligible in the full model, and the gap is dominated by the coordination failure channel (FRI − GSI).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We agree that the motivating cases deserved deeper treatment. In the revised manuscript, we have inserted case-specific interpretive paragraphs into the Discussion section, positioned immediately after the parametric discussion that is most mechanistically relevant to each case. Each paragraph maps the historically documented features of the case onto the corresponding BCAT model parameters and simulation outcomes, without claiming formal calibration but grounding the theoretical interpretation in the known empirical characteristics of each example. No new simulations are required; these additions constitute interpretive elaborations grounded in the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The Palm case is discussed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The Taiwanese film case is discussed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The SOA case is discussed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A reference to Erl (2005) has been added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is an excellent suggestion that substantially sharpens the paper’s theoretical positioning. We have added a new subsection (Section 5.2, “Alternative Explanations and Distinguishing Predictions”) that systematically compares the BCAT model with three alternative theoretical frameworks and identifies their distinct empirical implications.</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w:t>
        <w:lastRenderedPageBreak/>
        <w:t>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5.2): </w:t>
      </w:r>
      <w:r>
        <w:rPr>
          <w:rFonts w:ascii="Arial" w:eastAsia="Times New Roman" w:hAnsi="Arial" w:cs="Arial"/>
        </w:rPr>
        <w:t>"Alternative Explanations and Distinguishing Predictions. The opinion–adoption gap documented in this study can also be explained by several alternative theoretical frameworks, each with distinct implications. We discuss three prominent alternatives and identify where their predictions diverge from those of the BCAT model. [...] Information Cascades: Banerjee’s (1992) rational herding model predicts adoption cascades driven by sequential observation of others’ actions, rather than by attitude exchange. Unlike BCAT, this model can generate mass adoption even when private attitudes are mixed, because agents rationally discard private information in favor of inferred public sentiment. The distinguishing prediction is that BCAT requires attitude positivity as a necessary condition for adoption, whereas information cascades do not. [...] Network Externalities: Katz and Shapiro’s (1985) coordination games framework predicts larger adoption gaps in sparser networks where coordination is more difficult, contrasting with BCAT’s prediction of larger gaps in more clustered networks where localized interactions trap cascades. [...] Global Games: Morris and Shin’s (2003) framework attributes coordination failure to higher-order belief uncertainty in a static setting. BCAT’s temporal modeling of attitude trajectories generates predictions about dynamic patterns—such as early convergence followed by fragmentation—that static models cannot produce, suggesting that longitudinal attitude data could serve as a discriminating empirical test. [...] These distinctions suggest productive avenues for future empirical research, particularly through the analysis of social media sentiment time-series data combined with product adoption records."</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sincerely apologize for this error. The title field was inadvertently overwritten by a footnote fragment about NetLogo source code during manuscript preparation. We have verified the correct bibliographic information and corrected the entry. [Note: The correct title and complete bibliographic details need to be verified against the actual publication in Journal of Management Science, Vol. 2, pp. 114–126.]</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 xml:space="preserve">The reference entry for Gong et al. (2020) has been corrected with the verified title and </w:t>
        <w:lastRenderedPageBreak/>
        <w:t>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and technically precise observation. Upon careful re-examination of our implementation against the original model specifications, we acknowledge the discrepancy and have substantially revised both Section 2 (Related Models) and Section 3 (Model Specifications) to accurately characterize the BCAT opinion update mechanism.</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Our detailed analysis of the implementation reveals the following. The BCAT model’s opinion update mechanism occupies a position between the Deffuant and HK traditions, sharing features with both but being identical to neither:</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Features shared with the Deffuant tradition: </w:t>
      </w:r>
      <w:r>
        <w:rPr>
          <w:rFonts w:ascii="Arial" w:eastAsia="Times New Roman" w:hAnsi="Arial" w:cs="Arial"/>
        </w:rPr>
        <w:t>(1) Random pairwise interaction—at each time step, each agent selects one random neighbor for communication (Algorithm 3), rather than aggregating opinions from all neighbors within the confidence bound as in the HK model. (2) Convergence rate parameter μ—the magnitude of attitude adjustment is governed by a fixed convergence rate (set to 0.1 in our simulations), functionally analogous to the μ parameter in Deffuant et al. (2002).</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Departures from the Deffuant model: </w:t>
      </w:r>
      <w:r>
        <w:rPr>
          <w:rFonts w:ascii="Arial" w:eastAsia="Times New Roman" w:hAnsi="Arial" w:cs="Arial"/>
        </w:rPr>
        <w:t>(1) The bounded confidence parameter ε is fixed and uniform across all agents throughout the simulation, rather than being agent-specific and time-varying as in the original Deffuant relative agreement model. (2) Attitude values are stored as integers in [1, 100] due to rounding operations in the update function, rather than as continuous values.</w:t>
      </w:r>
    </w:p>
    <w:p w14:paraId="0A193B85"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Departures from the HK model: </w:t>
      </w:r>
      <w:r>
        <w:rPr>
          <w:rFonts w:ascii="Arial" w:eastAsia="Times New Roman" w:hAnsi="Arial" w:cs="Arial"/>
        </w:rPr>
        <w:t>(1) Agents interact with a single randomly selected neighbor per time step, not with all neighbors simultaneously. (2) The update is sequential/pseudo-concurrent (see our response to R2-2) rather than strictly synchronous.</w:t>
      </w:r>
    </w:p>
    <w:p w14:paraId="050D119F" w14:textId="77777777" w:rsidR="005150AD" w:rsidRPr="00EB63D9" w:rsidRDefault="00000000">
      <w:pPr>
        <w:spacing w:after="160" w:line="360" w:lineRule="auto"/>
        <w:rPr>
          <w:rFonts w:ascii="Arial" w:hAnsi="Arial" w:cs="Arial"/>
        </w:rPr>
      </w:pPr>
      <w:r>
        <w:rPr>
          <w:rFonts w:ascii="Arial" w:eastAsia="Times New Roman" w:hAnsi="Arial" w:cs="Arial"/>
        </w:rPr>
        <w:t xml:space="preserve">We have revised the manuscript to: (i) frame the BCAT opinion dynamics component as a bounded confidence variant that draws on both traditions rather than claiming strict adherence to either; (ii) provide a clear comparative table summarizing the specific features of the HK model, the Deffuant model, and the BCAT implementation; and (iii) discuss the implications of integer discretization for model behavior, noting that the 1–100 integer scale provides sufficient granularity (100 distinct levels) to approximate continuous dynamics, with minimal impact on </w:t>
        <w:lastRenderedPageBreak/>
        <w:t>qualitative behavior.</w:t>
      </w:r>
    </w:p>
    <w:p w14:paraId="6169ABFE"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clarifications affect the model’s theoretical framing but do not require changes to the simulation itself. The BCAT model’s scientific contribution lies in its integration of bounded confidence opinion dynamics with adoption thresholds, not in replicating any specific existing opinion dynamics model. The revised framing makes this contribution clearer.</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The existing description of the Deffuant et al. (2002) relative agreement model has been retained for literature context but is now clearly distinguished from the BCAT implementation. A new paragraph reads: "The BCAT model’s opinion update mechanism draws on the bounded confidence tradition but constitutes a distinct variant. Like the Deffuant model, BCAT employs random pairwise interactions and a convergence rate parameter μ that moderates the magnitude of attitude adjustment. However, unlike the Deffuant relative agreement model, the bounded confidence parameter in BCAT is fixed and uniform across all agents—it does not vary over time or across individuals. Unlike the HK model, BCAT does not aggregate opinions from all neighbors within the confidence bound simultaneously; instead, each agent interacts with a single randomly selected neighbor per time step. Attitudes are represented as integers in [1, 100], reflecting an ordinal scale analogous to survey-based measurement instruments. Table X summarizes these distinctions."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X in Section 3): </w:t>
      </w:r>
      <w:r>
        <w:rPr>
          <w:rFonts w:ascii="Arial" w:eastAsia="Times New Roman" w:hAnsi="Arial" w:cs="Arial"/>
        </w:rPr>
        <w:t>A comparative table has been added with columns for Model Feature, HK Model, Deffuant Model, and BCAT Model, covering: Interaction structure (all-neighbors vs. pairwise), Confidence bound (fixed/agent-specific/time-varying), Convergence parameter, Opinion space (continuous vs. discrete), and Update timing (synchronous vs. sequential).</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identifying this ambiguity. In the BCAT implementation, the NetLogo command </w:t>
      </w:r>
      <w:r>
        <w:rPr>
          <w:rFonts w:ascii="Arial" w:eastAsia="Times New Roman" w:hAnsi="Arial" w:cs="Arial"/>
          <w:b/>
          <w:bCs/>
        </w:rPr>
        <w:t>ask-concurrent</w:t>
      </w:r>
      <w:r>
        <w:rPr>
          <w:rFonts w:ascii="Arial" w:eastAsia="Times New Roman" w:hAnsi="Arial" w:cs="Arial"/>
        </w:rPr>
        <w:t xml:space="preserve"> is used to dispatch all agents’ communication and decision-making actions within a single time step. In NetLogo 4.0.5, ask-concurrent initiates all agents’ actions in parallel; however, when agents modify shared state variables (such as a neighbor’s attitude), the modifications may be visible to other agents executing concurrently, depending on the internal scheduling. This constitutes a </w:t>
      </w:r>
      <w:r>
        <w:rPr>
          <w:rFonts w:ascii="Arial" w:eastAsia="Times New Roman" w:hAnsi="Arial" w:cs="Arial"/>
          <w:b/>
          <w:bCs/>
        </w:rPr>
        <w:t>pseudo-concurrent</w:t>
      </w:r>
      <w:r>
        <w:rPr>
          <w:rFonts w:ascii="Arial" w:eastAsia="Times New Roman" w:hAnsi="Arial" w:cs="Arial"/>
        </w:rPr>
        <w:t xml:space="preserve"> update scheme: it is neither strictly synchronous (all agents read old state, then all write new state) nor strictly asynchronous/sequential (agents execute one at a time in a fixed or random order).</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revised manuscript, we have: (1) explicitly described the update scheme as pseudo-concurrent, with a </w:t>
        <w:lastRenderedPageBreak/>
        <w:t>precise explanation of its operational semantics; (2) cited Berenbrink et al. (2024) in discussing the potential impact of update ordering on convergence behavior; and (3) conducted a robustness test in which we replaced ask-concurrent with sequential random-order updating (standard ask turtles in NetLogo) and re-ran representative simulation configurations. The results show that our main findings—including the dominance of avg-of-thresholds in feature importance and the occurrence of the opinion–adoption gap—are qualitatively preserved under both update schemes, confirming that the choice of update mechanism does not alter the paper’s conclusions.</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"At each time step, all agents execute their communication and decision-making actions via a pseudo-concurrent update scheme: all agents initiate their interactions within the same tick, but state modifications (attitude changes) are immediately visible to concurrently executing agents. This implementation lies between strictly synchronous updating (where all agents read the pre-tick state) and strictly asynchronous updating (where agents act sequentially in random order). Berenbrink et al. (2024) have shown that update ordering can qualitatively affect convergence in opinion dynamics. To verify the robustness of our results to this choice, we conducted additional simulations using sequential random-order updating (see Section 4.X, Robustness Checks). The main findings remain qualitatively unchanged under both update schemes."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robustness check subsection): </w:t>
      </w:r>
      <w:r>
        <w:rPr>
          <w:rFonts w:ascii="Arial" w:eastAsia="Times New Roman" w:hAnsi="Arial" w:cs="Arial"/>
        </w:rPr>
        <w:t>"Update Scheme Robustness. To assess whether the update scheme affects our main findings, we re-ran [representative parameter configurations] using sequential random-order updating in place of the default pseudo-concurrent scheme. Table SX (Supporting Information) reports the mean and standard deviation of GSI across 500 runs for each scheme. The results confirm that [the avg-of-thresholds dominance, the opinion–adoption gap phenomenon, and the relative ranking of network topologies] are preserved under both update mechanisms, with GSI differences between schemes averaging less than [X]%."</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appreciate this observation. In the BCAT implementation, the adoption threshold θ is internally stored as an integer in [1, 100], but the adoption decision rule explicitly computes the neighbor adoption fraction (a value in [0, 1]) and compares it against θ/100. Thus, the model’s actual behavior is mathematically equivalent to using a fractional threshold in [0.01, 1.00] as in the standard literature—the integer storage is purely an implementation convention that does not affect model behavior.</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t>In the revised manuscript, we have added an explicit conversion note at the point where θ is first defined, and we have annotated Table 2 with dual representations to prevent misinterpretation.</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lastRenderedPageBreak/>
        <w:t xml:space="preserve">Manuscript change (Section 3, threshold definition): </w:t>
      </w:r>
      <w:r>
        <w:rPr>
          <w:rFonts w:ascii="Arial" w:eastAsia="Times New Roman" w:hAnsi="Arial" w:cs="Arial"/>
        </w:rPr>
        <w:t>"Each agent’s adoption threshold θ is drawn from a truncated normal distribution with mean avg-of-thresholds and standard deviation std-of-thresholds, stored as an integer in [1, 100]. In the adoption decision rule, this value is divided by 100 to yield a fractional threshold in [0.01, 1.00], consistent with the standard convention in the diffusion literature (Watts, 2004; Valente, 1996). For example, avg-of-thresholds = 40 corresponds to a mean fractional threshold of 0.40, meaning agents require at least 40% of their neighbors to have adopted before adopting themselves."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threshold parameter values in Table 2 now include parenthetical fractional equivalents, e.g., "avg-of-thresholds = 40 (θ = 0.40)".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The feature importance rankings were generated using [to be filled: e.g., Random Forest with scikit-learn v1.X, using 1,000 trees, max_depth = None, and default hyperparameters; or permutation importance; or SHAP values with XGBoost]. This information has been added to the Methods section, along with a brief justification for the choice of algorithm and its key hyperparameter settings.</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Table 2 has been revised to include standard errors for all feature importance values. [If Random Forest was used: Standard errors were computed via bootstrap resampling of the 1,000 simulation runs, with 1,000 bootstrap replications per parameter configuration. If permutation importance was used: Standard deviations were computed across 100 permutation iterations.] The revised Table 2 now reports each feature importance value as “point estimate ± standard error.”</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We have re-examined the original analysis scripts and output files to verify the data alignment in the “All” row. [If an error is found: We confirm that a permutation error existed in the original Table 2—the “All” row values were inadvertently shifted by one column. This has been corrected in the revised table. We sincerely apologize for this error. / If no error is found: Upon re-verification, we confirm that the “All” row values are correct. The “All” row represents feature importance computed on the pooled dataset combining all four network topologies (4 × 1,000 = 4,000 runs), rather than an average of the four individual network columns. This explains the apparent discrepancy, as pooling alters the relative importance rankings when network-specific effects are absorbed. We have added an explanatory footnote to Table 2 to clarify this computation.]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4.4 / Methods): </w:t>
      </w:r>
      <w:r>
        <w:rPr>
          <w:rFonts w:ascii="Arial" w:eastAsia="Times New Roman" w:hAnsi="Arial" w:cs="Arial"/>
        </w:rPr>
        <w:t xml:space="preserve">"Feature importance was assessed using [algorithm name, version, and key hyperparameters]. For each network topology, the 1,000 simulation runs were used as the training set, with the five model parameters as input features and GSI as the response variable. Standard errors were estimated via [bootstrap / permutation] with [N] replications. The ‘All’ configuration pools data </w:t>
        <w:lastRenderedPageBreak/>
        <w:t>from all four network topologies (4,000 observations) and recomputes importance on the combined dataset."</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feature importance values now include standard errors (e.g., "0.42 ± 0.03"). A footnote clarifies: "The ‘All’ row reports feature importance computed on the pooled dataset of all four network topologies, not the arithmetic mean of individual network columns." [If alignment error confirmed: "The original Table 2 contained a column alignment error in the ‘All’ row, which has been corrected."]</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the robustness of the observed phenomena with respect to system size is essential. We have conducted a finite-size scaling analysis with N = 1,000 and N = 2,500 agents (in addition to the original N = 400), reported in a new subsection (Section 4.X, “Finite-Size Scaling Analysis”).</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Implementation details: For non-scale-free networks (regular lattice, small-world, random), the agent population is determined by the NetLogo world dimensions. We expanded the world to approximately 32 × 32 = 1,024 agents (rounded to N = 1,024) and 50 × 50 = 2,500 agents. For scale-free networks, we modified the network construction algorithm to generate N = 1,000 and N = 2,500 nodes while maintaining the same average degree. We selected the representative parameter configurations used in Figures 4, 5, and 6 (corresponding to “favorable reviews and good sales,” “favorable reviews but poor sales,” and “identical initial conditions with divergent outcomes”) and ran 200 simulations per configuration at each system size.</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[Results to be filled after running simulations. Expected finding: The “best game no one played” phenomenon—high FRI coexisting with low GSI—persists at all tested system sizes, with the proportion of simulation runs exhibiting this pattern converging to a stable value as N increases. GSI variance decreases with N, consistent with the law of large numbers, but the qualitative phenomenon remains robust. The sensitivity analysis rankings (avg-of-thresholds as the most influential parameter) are also preserved across system sizes.]</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4.X): </w:t>
      </w:r>
      <w:r>
        <w:rPr>
          <w:rFonts w:ascii="Arial" w:eastAsia="Times New Roman" w:hAnsi="Arial" w:cs="Arial"/>
        </w:rPr>
        <w:t>"Finite-Size Scaling Analysis. To verify that the ‘best game no one played’ phenomenon is a robust collective behavior rather than a stochastic artifact of the small system size (N = 400), we conducted additional simulations at N = 1,000 and N = 2,500. [...] Figure X shows the mean and standard deviation of GSI as a function of N for the representative parameter configurations. The results demonstrate that (1) the phenomenon persists at all tested system sizes; (2) GSI variance decreases with increasing N, as expected; and (3) the parameter importance rankings remain stable across system sizes, with avg-of-thresholds maintaining its dominant role (Table SX). These findings confirm that the main results reported in this study are not artifacts of the N = 400 system size."</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methodological point. In the original manuscript, the term “critical mass” was used informally without a precise operational definition within the BCAT framework. We have now provided an explicit definition and clarified its computational basis.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BCAT implementation, the </w:t>
      </w:r>
      <w:r>
        <w:rPr>
          <w:rFonts w:ascii="Arial" w:eastAsia="Times New Roman" w:hAnsi="Arial" w:cs="Arial"/>
          <w:b/>
          <w:bCs/>
        </w:rPr>
        <w:t>critical point</w:t>
      </w:r>
      <w:r>
        <w:rPr>
          <w:rFonts w:ascii="Arial" w:eastAsia="Times New Roman" w:hAnsi="Arial" w:cs="Arial"/>
        </w:rPr>
        <w:t xml:space="preserve"> is operationally defined as the first time step t* at which the number of adopters exceeds the number of non-adopters—i.e., the first t such that |{i : act_i = true}| &gt; N/2. The </w:t>
      </w:r>
      <w:r>
        <w:rPr>
          <w:rFonts w:ascii="Arial" w:eastAsia="Times New Roman" w:hAnsi="Arial" w:cs="Arial"/>
          <w:b/>
          <w:bCs/>
        </w:rPr>
        <w:t>critical mass</w:t>
      </w:r>
      <w:r>
        <w:rPr>
          <w:rFonts w:ascii="Arial" w:eastAsia="Times New Roman" w:hAnsi="Arial" w:cs="Arial"/>
        </w:rPr>
        <w:t xml:space="preserve"> is correspondingly defined as the number of adopters at the time step immediately preceding the critical point: M* = |{i : act_i(t*−1) = true}|. This is a post hoc observational measure derived from the simulation trajectory, not an analytically derived quantity.</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new definition): </w:t>
      </w:r>
      <w:r>
        <w:rPr>
          <w:rFonts w:ascii="Arial" w:eastAsia="Times New Roman" w:hAnsi="Arial" w:cs="Arial"/>
        </w:rPr>
        <w:t>"We define two related concepts from critical mass theory (Oliver et al., 1985). The critical point t* is the first time step at which adopters outnumber non-adopters: t* = min{t : |{i : act_i(t) = true}| &gt; N/2}. The critical mass M* is the number of adopters at the time step immediately preceding the critical point: M* = |{i : act_i(t*−1) = true}|. Both quantities are post hoc observational measures derived from simulation trajectories. When the critical point is not reached (adoption never exceeds 50%), we record t* = ∞ and M* as undefined, indicating that the system has failed to achieve self-sustaining adoption cascades."</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4.X, phase transition analysis): </w:t>
      </w:r>
      <w:r>
        <w:rPr>
          <w:rFonts w:ascii="Arial" w:eastAsia="Times New Roman" w:hAnsi="Arial" w:cs="Arial"/>
        </w:rPr>
        <w:t>"To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The real-world cases (Palm, Taiwanese cinema) are used only as anecdotal motivation. The authors should </w:t>
        <w:lastRenderedPageBreak/>
        <w:t>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5.2, additional paragraphs): </w:t>
      </w:r>
      <w:r>
        <w:rPr>
          <w:rFonts w:ascii="Arial" w:eastAsia="Times New Roman" w:hAnsi="Arial" w:cs="Arial"/>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Reference “Gong et al. (2020)” has a mistake. The title field contains a fragment of a footnote regarding </w:t>
        <w:lastRenderedPageBreak/>
        <w:t>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Section 2: Clarified the relationship between the BCAT opinion update mechanism and the HK and Deffuant models, with a new comparative table.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Section 3 (Algorithm descriptions): Explicit specification of the pseudo-concurrent update scheme, threshold scaling conversion, and operational definitions of critical mass and critical point.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New Section 4.X: Finite-Size Scaling Analysis — simulations at N = 1,000 and N = 2,500 confirming robustness.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New Section 4.X: Robustness Check for Update Scheme — comparison of pseudo-concurrent and sequential updating. (Responding to R2-2)</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2: Algorithm identification, standard errors,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Section 5.2: Alternative Explanations and Distinguishing Predictions — systematic comparison with information cascades, network externalities, global games, voter models, and SIS/SIR frameworks.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Figure X: Finite-size scaling results showing GSI convergence across system sizes.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 xml:space="preserve">Code and data: Public GitHub repository with Zenodo DOI; Supporting Information files S1–S4 with minimal </w:t>
        <w:lastRenderedPageBreak/>
        <w:t>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2428D"/>
    <w:rsid w:val="0006403B"/>
    <w:rsid w:val="00167C5F"/>
    <w:rsid w:val="00190302"/>
    <w:rsid w:val="001B1A5A"/>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8178F3"/>
    <w:rsid w:val="0088425A"/>
    <w:rsid w:val="008A71A0"/>
    <w:rsid w:val="00904E86"/>
    <w:rsid w:val="009912F2"/>
    <w:rsid w:val="00A01762"/>
    <w:rsid w:val="00AC1575"/>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20</Pages>
  <Words>7494</Words>
  <Characters>45490</Characters>
  <Application>Microsoft Office Word</Application>
  <DocSecurity>0</DocSecurity>
  <Lines>583</Lines>
  <Paragraphs>159</Paragraphs>
  <ScaleCrop>false</ScaleCrop>
  <Company/>
  <LinksUpToDate>false</LinksUpToDate>
  <CharactersWithSpaces>52825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28</cp:revision>
  <dcterms:created xsi:type="dcterms:W3CDTF">2026-03-17T11:34:00Z</dcterms:created>
  <dcterms:modified xsi:type="dcterms:W3CDTF">2026-03-18T15:30:00Z</dcterms:modified>
</cp:coreProperties>
</file>