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We prepared the manuscript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We updated the Data Availability Statement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neither component produces alone. The most important is the</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inserted</w:t>
        <w:lastRenderedPageBreak/>
        <w:t>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We discuss the Palm case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(管理科学), 2020, volume 33, issue 2, pages 114–126. We corrected this in the revised manuscript and conducted a systematic review of all remaining reference entries, confirming that the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observation. We address it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w:t>
        <w:lastRenderedPageBreak/>
        <w:t>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methodological point. The BCAT model uses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contrasts with the standard ask command, which processes agents in a random sequential</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We chose synchronous updating deliberately to eliminate order-dependent artifacts. Sequential updating would introduce a confound: the within-tick execution ordering of agents would itself become a source of outcome variability, making it difficult to attribute differences in simulation results to model parameters. By adopting ask-concurrent, we ensure that all randomness in the simulation comes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behavior by collecting all agents’ state readings before applying any updates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revised manuscript, we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Following the reviewer’s prompt, we conducted a systematic audit of all values in Table 3 and discovered that the Parameter Importance section contained a copy-paste error: the values were inadvertently duplicated from the Standardized Regression 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(Discussion, after alternative theories paragraphs):</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Relocated Evaluation Indicators (FRI, GSI, critical point definitions) and Emergent Properties (dual-filter mechanism, feedback loop) from Results to end of this section, ensuring all terms are defined before first use. Added synchronous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Discussion paragraph comparing BCAT with voter models with inertia and SIS/SIR epidemic frameworks. (Responding to R2-7)</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p w14:paraId="3B000017" w14:textId="77777777" w:rsidR="005150AD" w:rsidRDefault="00000000">
      <w:pPr>
        <w:spacing w:after="160" w:line="360" w:lineRule="auto"/>
        <w:ind w:left="480"/>
        <w:rPr>
          <w:rFonts w:ascii="Arial" w:hAnsi="Arial" w:cs="Arial"/>
        </w:rPr>
      </w:pPr>
      <w:r>
        <w:rPr>
          <w:rFonts w:ascii="Arial" w:eastAsia="Times New Roman" w:hAnsi="Arial" w:cs="Arial"/>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Default="005150AD">
      <w:pPr>
        <w:spacing w:before="360" w:after="160" w:line="360" w:lineRule="auto"/>
        <w:rPr>
          <w:rFonts w:ascii="Arial" w:hAnsi="Arial" w:cs="Arial"/>
        </w:rPr>
      </w:pPr>
      <w:r>
        <w:rPr>
          <w:rFonts w:ascii="Arial" w:hAnsi="Arial" w:cs="Arial"/>
          <w:b/>
          <w:bCs/>
          <w:sz w:val="28"/>
          <w:szCs w:val="28"/>
        </w:rPr>
        <w:t>References Cited in This Response</w:t>
      </w:r>
    </w:p>
    <w:p w14:paraId="01B2C302"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Banerjee, A. V. (1992). A simple model of herd behavior. Quarterly Journal of Economics, 107(3), 797–817.</w:t>
      </w:r>
    </w:p>
    <w:p w14:paraId="01B2C303"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Berenbrink, P., Hoefer, M., Kaaser, D., Lenzner, P., Rau, M., &amp; Schmand, D. (2024). Asynchronous opinion dynamics in social networks. Distributed Computing, 37(3), 207–224.</w:t>
      </w:r>
    </w:p>
    <w:p w14:paraId="01B2C304"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Cheng, C., Han, X., Tong, X., Wu, Y., &amp; Xing, Y. (2026). Degree-weighted social learning. American Economic Journal: Microeconomics. Forthcoming.</w:t>
      </w:r>
    </w:p>
    <w:p w14:paraId="01B2C305"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Neau, D., Amblard, F., &amp; Weisbuch, G. (2000). Mixing beliefs among interacting agents. Advances in Complex Systems, 3(1–4), 87–98.</w:t>
      </w:r>
    </w:p>
    <w:p w14:paraId="01B2C306"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Erl, T. (2005). Service-Oriented Architecture: Concepts, Technology, and Design. Prentice Hall PTR.</w:t>
      </w:r>
    </w:p>
    <w:p w14:paraId="01B2C308"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(2010). Naïve learning in social networks and the wisdom of crowds. American Economic Journal: Microeconomics, 2(1), 112–149.</w:t>
      </w:r>
    </w:p>
    <w:p w14:paraId="01B2C309"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(2012). How homophily affects the speed of learning and best-response dynamics. Quarterly Journal of Economics, 127(3), 1287–1338.</w:t>
      </w:r>
    </w:p>
    <w:p w14:paraId="01B2C30A"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Katz, M. L., &amp; Shapiro, C. (1985). Network externalities, competition, and compatibility. American Economic Review, 75(3), 424–440.</w:t>
      </w:r>
    </w:p>
    <w:p w14:paraId="01B2C30B"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McPherson, M., Smith-Lovin, L., &amp; Cook, J. M. (2001). Birds of a feather: Homophily in social networks. Annual Review of Sociology, 27(1), 415–444.</w:t>
      </w:r>
    </w:p>
    <w:p w14:paraId="01B2C30C"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Oliver, P., Marwell, G., &amp; Teixeira, R. (1985). A theory of the critical mass. American Journal of Sociology, 91(3), 522–556.</w:t>
      </w:r>
    </w:p>
    <w:p w14:paraId="01B2C30E"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Rogers, E. M. (2003). Diffusion of Innovations (5th ed.). Free Press.</w:t>
      </w:r>
    </w:p>
    <w:p w14:paraId="01B2C30F"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Valente, T. W. (1996). Social network thresholds in the diffusion of innovations. Social Networks, 18(1), 69–89.</w:t>
      </w:r>
    </w:p>
    <w:p w14:paraId="01B2C310"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Watts, D. J. (2004). A simple model of global cascades on random networks. In E. Ostrom &amp; T. K. Ahn (Eds.), Foundations of Social Capital (pp. 316–334). Edward Elgar Publishing.</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