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important methodological point. The BCAT model employs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is in contrast to the standard ask command, which processes agents in a random sequential </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The choice of synchronous updating was a deliberate methodological decision to eliminate order-dependent artifacts. Using sequential updating would introduce a confound: the within-tick execution ordering of agents would itself become a source of outcome variability, making it difficult to attribute differences in simulation results cleanly to model parameters. By adopting ask-concurrent, we ensure that all randomness in the simulation is sourced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semantics by collecting all agents’ state readings before any updates are applied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constitutes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This equivalence is enforced explicitly in the adoption decision rule of Algorithm 3, which computes the neighbor adoption proportion (a value in [0, 1]) and compares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text or tables. In the revised manuscript, we have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values were computed using a Random Forest regression ensemble with 100 trees and the mean decrease in impurity (Gini importance) criterion, with all other hyperparameters at their default values. This information has been added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3 has been revised to include standard errors for the Random Forest feature importance values. Standard errors were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and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Upon the reviewer’s prompt, we conducted a systematic audit of all values in Table 3 and discovered that the Parameter Importance section contained a copy-paste error: the values were inadvertently duplicated from the Standardized Regression section with rows and columns transposed. This error has been corrected. The Parameter Importance rows now report Pearson correlation coefficients between each parameter and the adoption outcome variable, computed directly from the sensitivity analysis data. We additionally verified that the “All” row values across all five analysis methods are consistent with the aggregated dataset (N = 100,548 observations across four network topologies). We sincerely apologize for this error in the original submission.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are preserved across all system sizes. We have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wish to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have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already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 of the critical point (t*).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Finite-size scaling note added to sensitivity analysis subsection confirming robustness at N=900, 1,600, and 2,500.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