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and constructive evaluations, which helped us improve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addressed every point raised by the reviewers and the journal editorial office. The major changes include: (1) a revised theoretical framework that explains why we integrate bounded confidence opinion dynamics with adoption thresholds, and how the model relates to both the Hegselmann–Krause and Deffuant traditions; (2) new controlled experiments that disentangle the coordination failure channel from the opinion clustering channel; (3) finite-size scaling experiments at N = 900, N = 1,600, and N = 2,500 to confirm robustness; (4) a new discussion section comparing the BCAT model with alternative frameworks, including information cascades, network externalities, and global games; (5) corrected and expanded statistical reporting in Table 3 with algorithm identification, standard errors, and verified data alignment; (6) an operational definition of the critical point within the BCAT framework; (7) new figures replacing NetLogo GUI screenshots with author-generated visualizations; (8) conversion to the PLOS LaTeX template with public code and data repositories; (9) expanded Discussion paragraphs that ground the three motivating cases—the Palm handheld, the Taiwanese film The Bold, The Corrupt and The Beautiful, and service-oriented architecture—in specific model parameters and simulation figures; and (10) comparison with voter models with inertia and SIS/SIR epidemic frameworks to clarify the model’s unique two-channel structure.</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10.5281/zenodo.19081523) for long-term accessibility and updated the Data Availability Statement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We prepared the manuscript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3 and Figs 7–9, available in the data/ directory at https://github.com/canslab1/PLOS-BCAT. We updated the Data Availability Statement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chose option (2). The original figures were screenshots from the NetLogo GUI, which may contain copyrighted visual elements belonging to the NetLogo platform. To resolve this, we re-implemented the BCAT model in Python 3 and regenerated all six figures (Figs 2, 4, 5, 6, 10, 11) using our own visualization code. The revised figures present equivalent simulation results under identical parameter configurations, and all visual elements are entirely our original work.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thoughtful and constructive evaluation. The reviewer’s comments—particularly the identification of two distinct mechanism channels and the call for distinguishing predictions relative to alternative theories—guided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agree that the original manuscript presented the two model components too modularly, leaving the reader to infer their interaction logic from the pseudocode. In the revised manuscript, we added two new paragraphs—one at the end of the Related Models section and one at the opening of the Simulation Model Specifications section—that explain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DeGroot-style averaging models (Golub &amp; Jackson, 2010, 2012; Cheng et al., 2026) assume that all agents accept influence from all neighbors, leading to guaranteed convergence toward consensus under mild connectivity conditions. This property makes the DeGroot framework ill-suited for studying the “best game no one played” phenomenon, because it cannot generate opinion fragmentation—a key mechanism through which positive average sentiment may coexist with insufficient local support for adoption. Voter model dynamics are discrete and memoryless (each agent randomly copies a neighbor’s binary state) and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makes bounded confidence a suitable partner for the adoption threshold mechanism, because fragmentation creates the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neither component produces alone. The most important is the</w:t>
      </w:r>
      <w:r>
        <w:rPr>
          <w:rFonts w:ascii="Arial" w:eastAsia="Times New Roman" w:hAnsi="Arial" w:cs="Arial"/>
          <w:b/>
          <w:bCs/>
        </w:rPr>
        <w:t xml:space="preserve">bidirectional feedback loop between adoption status and </w:t>
        <w:lastRenderedPageBreak/>
        <w:t>opinion exchange</w:t>
      </w:r>
      <w:r>
        <w:rPr>
          <w:rFonts w:ascii="Arial" w:eastAsia="Times New Roman" w:hAnsi="Arial" w:cs="Arial"/>
        </w:rPr>
        <w:t>. In the BCAT model, opinion exchange rules depend on the adoption statuses of both interacting agents: when one agent has adopted and the other has not, the exchange follows asymmetric persuasion logic (the adopted agent exerts stronger influence); when both have adopted, attitudes converge toward the more positive pole; when neither has adopted, standard bidirectional convergence applies. The adoption decision—ostensibly a downstream consequence of opinion formation—thus feeds back into the opinion dynamics process, creating a coupled dynamical system whose behavior cannot be predicted from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appreciate the identification of these two distinct mechanism channels. We agree that disentangling their respective contributions deepens the paper’s theoretical contribution. Following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 and an accompanying new figure (Fig 10).</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lastRenderedPageBreak/>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The attitude distance between pioneers (att = 100) and non-pioneers (att = 81) equals 19, which exceeds the communication threshold, so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so opinion dynamics operates in complete isolation from adoption feedback. We used avg-of-attitudes = 50, std-of-attitudes = 15, and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The opinion clustering contribution (1 − FRI) to the total gap is therefore negligible in the full model, and the coordination failure channel (FRI − GSI) dominates the gap.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10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 xml:space="preserve">We agree that the motivating cases deserved deeper treatment. In the revised manuscript, we inserted</w:t>
        <w:lastRenderedPageBreak/>
        <w:t>case-specific interpretive paragraphs into the Discussion section, positioned after the parametric discussion most relevant to each case. Each paragraph maps the historically documented features of the case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We discuss the Palm case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We discuss the Taiwanese film case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We discuss the SOA case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We added a reference to Erl (2005)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Other theories can also account for the opinion–adoption gap: rational herding and information cascades (Banerjee 1992), network externalities and coordination games (Katz and Shapiro 1985), and global games </w:t>
        <w:lastRenderedPageBreak/>
        <w:t>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suggestion substantially sharpens the paper’s theoretical positioning. We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Information cascades can therefore produce widespread adoption even when private attitudes are not uniformly positive (herding overrides private information), whereas the BCAT model strictly requires positive attitudes as a necessary condition for adoption. This generates a testable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coordination games predict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higher-order belief uncertainty: even when all agents hold favorable attitudes, uncertainty about whether others also hold favorable attitudes (and whether others know that others do) can prevent coordinated action. The critical distinction from BCAT is that global games are inherently static—they do not model the temporal evolution of attitudes. BCAT, by contrast, can explain time-dependent phenomena such as attitudes that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by discussing how future empirical research could discriminate among these theories.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 xml:space="preserve">Six new paragraphs have been added to the Discussion section comparing BCAT </w:t>
        <w:lastRenderedPageBreak/>
        <w:t>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3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is a field contamination error, not an incorrect citation. The correct title is “A loud but harsh voice: The impact of celebrity endorsement on online WOM,” published in Journal of Management Science (管理科学), 2020, volume 33, issue 2, pages 114–126. We corrected this in the revised manuscript and conducted a systematic review of all remaining reference entries, confirming that the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with the verified title and 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technically precise observation. We address it in two parts.</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Part 1: The integer attitude scale is a deliberate and mathematically equivalent discretization. The integer scale [1, 100] is a uniform discretization of the continuous interval [0, 1] into 100 equally spaced levels, where each integer unit corresponds to an interval of 0.01. The bounded confidence parameter max-opinion-distance follows the same convention: a value of 40 corresponds to a confidence threshold of ε = 0.40 in the standard literature. We made this design choice to facilitate sensitivity analysis and to align the attitude scale with survey-style measurement instruments. We added a note in the Simulation Model Specifications section stating this equivalence.</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Part 2: The opinion update mechanism corresponds to the simple bounded confidence Deffuant model, not the Relative Agreement variant. </w:t>
      </w:r>
      <w:r>
        <w:rPr>
          <w:rFonts w:ascii="Arial" w:eastAsia="Times New Roman" w:hAnsi="Arial" w:cs="Arial"/>
        </w:rPr>
        <w:t>The reviewer’s deeper observation concerns the relationship between the mathematical description in the Related Models section and the actual update mechanism in Algorithm 3. Section 2 of the original manuscript introduces the Deffuant et al. (2002) Relative Agreement (RA) model, which features agent-specific, time-varying uncertainty parameters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Manuscript changes: </w:t>
      </w:r>
      <w:r>
        <w:rPr>
          <w:rFonts w:ascii="Arial" w:eastAsia="Times New Roman" w:hAnsi="Arial" w:cs="Arial"/>
        </w:rPr>
        <w:t xml:space="preserve">We revised Section 2 accordingly. We retained the description of the RA model and its equations as literature context, but added a disambiguation sentence stating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1) summarizes the structural relationships among the HK</w:t>
        <w:lastRenderedPageBreak/>
        <w:t>model, the Deffuant RA model, and the BCAT opinion component across eight dimensions. We rewrote the Algorithm 3 description in the Simulation Model Specifications section to specify the fixed-rate convergence rule, the ε = max-opinion-distance/100 equivalence, and the absence of any agent-specific uncertainty parameter. Table 2 now includes a note on the integer-to-continuous mapping. These clarifications affect the theoretical positioning of the model but do not require any changes to the simulation itself.</w:t>
      </w:r>
    </w:p>
    <w:p w14:paraId="6169ABFE" w14:textId="12517D4E" w:rsidR="005150AD" w:rsidRPr="00EB63D9" w:rsidRDefault="00000000">
      <w:pPr>
        <w:spacing w:after="160" w:line="360" w:lineRule="auto"/>
        <w:rPr>
          <w:rFonts w:ascii="Arial" w:hAnsi="Arial" w:cs="Arial"/>
        </w:rPr>
      </w:pPr>
      <w:r>
        <w:rPr>
          <w:rFonts w:ascii="Arial" w:eastAsia="Times New Roman" w:hAnsi="Arial" w:cs="Arial"/>
          <w:b/>
          <w:bCs/>
        </w:rPr>
        <w:t xml:space="preserve">We emphasize </w:t>
      </w:r>
      <w:r>
        <w:rPr>
          <w:rFonts w:ascii="Arial" w:eastAsia="Times New Roman" w:hAnsi="Arial" w:cs="Arial"/>
        </w:rPr>
        <w:t>that these clarifications affect the model’s theoretical positioning but do not require any changes to the simulation itself. The BCAT model’s scientific contribution lies in integrating a bounded confidence opinion dynamics mechanism with adoption threshold diffusion, and in the adoption-status-conditioned feedback structure that generates the opinion–adoption gap. The revised framing makes this contribution more precise rather than diminishing it. We added a reference to the original simple Deffuant bounded confidence model (Deffuant et al., 2000).</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2 now includes a note on the integer-to-continuous mapping for attitude values.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1):</w:t>
      </w:r>
      <w:r>
        <w:rPr>
          <w:rFonts w:ascii="Arial" w:eastAsia="Times New Roman" w:hAnsi="Arial" w:cs="Arial"/>
        </w:rPr>
        <w:t>A comparative table (Table 1)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raising this methodological point. The BCAT model uses a pseudo-concurrent update scheme, implemented via the ask-concurrent command in NetLogo 4.0.5. Under ask-concurrent, all agents are processed in a randomly shuffled order within each tick, and each agent’s state modifications take effect immediately. The Python 3 reimplementation faithfully reproduces this behavior. This scheme lies between strictly synchronous updating (where all agents read old states before any writes occur) and strictly sequential updating with a fixed order (where position in the queue systematically advantages certain agents).</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We chose this scheme because the random reshuffling of execution order at each tick ensures that no agent systematically benefits from its position in the processing sequence. The randomness in the simulation therefore comes from four well-defined stochastic elements: (1) the random selection of a neighbor for each agent per tick, (2) the initial random assignment of attitude and threshold values, (3) the random or clustered placement of pioneer agents, and (4) the random execution order within each tick. Because each source is controlled and reproducible given a fixed random seed, the sensitivity analysis results in Table 3 reflect model parameter effects rather than systematic scheduling artifacts.</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Two new paragraphs have been added to the Simulation Model Specifications section, immediately following the adoption decision-making description. The first paragraph explains the pseudo-concurrent update semantics of ask-concurrent (random-order sequential execution with immediate writes) and confirms that the Python 3 reimplementation faithfully reproduces this behavior. The second paragraph states the methodological rationale: random reshuffling of execution order at each tick prevents systematic scheduling bias, and identifies four controlled stochastic elements ensuring that sensitivity analysis results in Table 3 reflect model parameter effects.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 </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3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which is well-founded from a reporting transparency standpoint. As clarified in our response to R2-1,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The adoption decision rule of Algorithm 3 enforces this equivalence by computing the neighbor adoption proportion (a value in [0, 1]) and comparing it against theta/100. The two sides of the inequality therefore operate on identical scales, and the model’s mathematical behavior is exactly equivalent to a formulation using fractional thresholds in [0.01, 1.00].</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lastRenderedPageBreak/>
        <w:t>We acknowledge that the original manuscript did not make this scaling equivalence explicit. In the revised manuscript, we added a clarifying statement in the Table 2 parameter description for avg-of-thresholds and std-of-thresholds, and appended a footnote to Table 3 providing the fractional equivalents for the threshold parameter values used in the sensitivity analysis. No changes to the simulation code or model behavior are required.</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threshold definition): </w:t>
      </w:r>
      <w:r>
        <w:rPr>
          <w:rFonts w:ascii="Arial" w:eastAsia="Times New Roman" w:hAnsi="Arial" w:cs="Arial"/>
        </w:rPr>
        <w:t>The Table 2 description for avg-of-thresholds and std-of-thresholds now states: “Threshold values follow the same [1, 100] ≡ [0.01, 1.00] discretization convention as attitude values: in the adoption decision rule (Algorithm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3):</w:t>
      </w:r>
      <w:r>
        <w:rPr>
          <w:rFonts w:ascii="Arial" w:eastAsia="Times New Roman" w:hAnsi="Arial" w:cs="Arial"/>
        </w:rPr>
        <w:t>A footnote has been added to Table 3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3</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3 remains incomplete: (a) The specific feature importance algorithm is never identified. (b) Table 3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We computed the feature importance values using a Random Forest regression ensemble with 100 trees and the mean decrease in impurity (Gini importance) criterion, with all other hyperparameters at their default values. We added this information to the Sensitivity Analysis subsection of the Results section.</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so standard errors are not applicable. A footnote in Table 3 clarifies this distinction.</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 xml:space="preserve">Following the reviewer’s prompt, we conducted a systematic audit of all values in Table 3 and discovered that the Parameter Importance section contained a copy-paste error: the values were inadvertently duplicated from the Standardized Regression section with rows and columns transposed. We corrected this error. The Parameter Importance rows now report Pearson correlation coefficients between each parameter and the adoption outcome variable, computed directly from the sensitivity analysis data. We also verified that the “All” row values across all five analysis methods are consistent with the aggregated dataset (N = 100,548 observations across four network topologies). We sincerely apologize for this error in the original submission. We also added a footnote to Table 3 explaining why the corrected Parameter Importance values closely approximate the Standardized Regression coefficients: because the five input parameters are varied independently in the sensitivity analysis design, the predictors are approximately orthogonal, and the two measures are mathematically equivalent under this condition.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(Sensitivity Analysis text):</w:t>
      </w:r>
      <w:r>
        <w:rPr>
          <w:rFonts w:ascii="Arial" w:eastAsia="Times New Roman" w:hAnsi="Arial" w:cs="Arial"/>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3):</w:t>
      </w:r>
      <w:r>
        <w:rPr>
          <w:rFonts w:ascii="Arial" w:eastAsia="Times New Roman" w:hAnsi="Arial" w:cs="Arial"/>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robustness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baseline. The sharp phase transition at avg-of-thresholds between 30 and 40, and the dominance of avg-of-thresholds as the primary determinant of adoption outcomes, hold across all system sizes. We added a note at the end of the sensitivity analysis subsection in Results, and the experimental data are available in the public repository.</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We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added an explicit definition of the critical point to the Results section of the revised manuscript.</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the mechanism decomposition experiments (described in our response to R1-2) document a sharp transition in GSI between avg-of-thresholds = 30 and 40, and the finite-size scaling experiments (R2-5) confirm that this transition persists across system sizes N = 400 through N = 2,500.</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(Results, evaluation metrics subsection): </w:t>
      </w:r>
      <w:r>
        <w:rPr>
          <w:rFonts w:ascii="Arial" w:eastAsia="Times New Roman" w:hAnsi="Arial" w:cs="Arial"/>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added a paragraph in the Discussion section (following the alternative theories comparison responding to R1-4) that contrasts BCAT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and cannot represent the continuous spectrum of attitude intensity central to the “best game no one played” phenomenon. In BCAT, two agents may both hold positive attitudes (e.g., att = 55 and att = 90) yet differ substantially in their proximity to the adoption eligibility threshold—a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private attitude. The BCAT model, by contrast, decouples attitude formation from the adoption decision, requiring both a positive attitude and sufficient neighbor adoption as independent preconditions. This two-layer structure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(Discussion, after alternative theories paragraphs):</w:t>
      </w:r>
      <w:r>
        <w:rPr>
          <w:rFonts w:ascii="Arial" w:eastAsia="Times New Roman" w:hAnsi="Arial" w:cs="Arial"/>
        </w:rPr>
        <w:t xml:space="preserve">"We further distinguish BCAT from two classes of coupled dynamical models. Voter models with inertia (Stark et al., 2008) generate metastable heterogeneous states but operate on binary opinion spaces, precluding the continuous attitude variation that </w:t>
        <w:lastRenderedPageBreak/>
        <w:t>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we corrected this error.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Related Models section: Distinguished the Deffuant RA model (Equations 1–2, retained as literature context) from the BCAT implementation (simple Deffuant BC variant); new positioning paragraph and Table 1 comparing HK, Deffuant RA, and BCAT across eight dimensions; rewritten Algorithm 3 description with explicit update rule; Deffuant et al. (2000) reference added.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Simulation Model Specifications section: Relocated Evaluation Indicators (FRI, GSI, critical point definitions) and Emergent Properties (dual-filter mechanism, feedback loop) from Results to end of this section, ensuring all terms are defined before first use. Added pseudo-concurrent update scheme specification, threshold scaling conversion, and section roadmap. Pre-definition references to BCAT in the Related Models section replaced with descriptive language. (Responding to R2-2, R2-3, R2-6, and structural revision)</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10,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Finite-size scaling note added to sensitivity analysis subsection — experiments at N=900, 1,600, and 2,500 confirm robustness of all qualitative phenomena.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Structural revision: All terms (BCAT, FRI, GSI) now follow the “define before first use” principle. Pre-definition references to BCAT in the Related Models section replaced with descriptive language; Evaluation Indicators and Emergent Properties subsections relocated from Results to end of Simulation Model Specifications.</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3: Algorithm identification (Random Forest, 100 trees), standard errors for Feature Importance (±SE ≤ 0.001), corrected Parameter Importance values (Pearson correlations), verified data alignment, dual threshold scaling notation, and a footnote explaining why Parameter Importance and Standardized Regression values are nearly identical (orthogonal predictor design).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10: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Discussion paragraph comparing BCAT with voter models with inertia and SIS/SIR epidemic frameworks. (Responding to R2-7)</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lastRenderedPageBreak/>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Code and data: Public GitHub repository with Zenodo DOI; Supporting Information files S1–S4 with minimal data set. (Responding to JR-2, JR-4)</w:t>
      </w:r>
    </w:p>
    <w:p w14:paraId="3B000017" w14:textId="77777777" w:rsidR="005150AD" w:rsidRDefault="00000000">
      <w:pPr>
        <w:spacing w:after="160" w:line="360" w:lineRule="auto"/>
        <w:ind w:left="480"/>
        <w:rPr>
          <w:rFonts w:ascii="Arial" w:hAnsi="Arial" w:cs="Arial"/>
        </w:rPr>
      </w:pPr>
      <w:r>
        <w:rPr>
          <w:rFonts w:ascii="Arial" w:eastAsia="Times New Roman" w:hAnsi="Arial" w:cs="Arial"/>
        </w:rPr>
        <w:t>17. Updated Abstract: Added two sentences summarizing the mechanism decomposition findings (testimony effect neutralizes opinion clustering; coordination failure is the dominant driver) and the distinguishing predictions relative to alternative frameworks. (Responding to R1-2, R1-4)</w:t>
      </w:r>
    </w:p>
    <w:p w14:paraId="01B2C301" w14:textId="77777777" w:rsidR="005150AD" w:rsidRDefault="005150AD">
      <w:pPr>
        <w:spacing w:before="360" w:after="160" w:line="360" w:lineRule="auto"/>
        <w:rPr>
          <w:rFonts w:ascii="Arial" w:hAnsi="Arial" w:cs="Arial"/>
        </w:rPr>
      </w:pPr>
      <w:r>
        <w:rPr>
          <w:rFonts w:ascii="Arial" w:hAnsi="Arial" w:cs="Arial"/>
          <w:b/>
          <w:bCs/>
          <w:sz w:val="28"/>
          <w:szCs w:val="28"/>
        </w:rPr>
        <w:t>References Cited in This Response</w:t>
      </w:r>
    </w:p>
    <w:p w14:paraId="01B2C302"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Banerjee, A. V. (1992). A simple model of herd behavior. Quarterly Journal of Economics, 107(3), 797–817.</w:t>
      </w:r>
    </w:p>
    <w:p w14:paraId="01B2C303"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Berenbrink, P., Hoefer, M., Kaaser, D., Lenzner, P., Rau, M., &amp; Schmand, D. (2024). Asynchronous opinion dynamics in social networks. Distributed Computing, 37(3), 207–224.</w:t>
      </w:r>
    </w:p>
    <w:p w14:paraId="01B2C304"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Cheng, C., Han, X., Tong, X., Wu, Y., &amp; Xing, Y. (2026). Degree-weighted social learning. American Economic Journal: Microeconomics. Forthcoming.</w:t>
      </w:r>
    </w:p>
    <w:p w14:paraId="01B2C305"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Deffuant, G., Neau, D., Amblard, F., &amp; Weisbuch, G. (2000). Mixing beliefs among interacting agents. Advances in Complex Systems, 3(1–4), 87–98.</w:t>
      </w:r>
    </w:p>
    <w:p w14:paraId="01B2C306"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Deffuant, G., Amblard, F., Weisbuch, G., &amp; Faure, T. (2002). How can extremism prevail? A study based on the relative agreement interaction model. Journal of Artificial Societies and Social Simulation, 5(4).</w:t>
      </w:r>
    </w:p>
    <w:p w14:paraId="01B2C307"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Erl, T. (2005). Service-Oriented Architecture: Concepts, Technology, and Design. Prentice Hall PTR.</w:t>
      </w:r>
    </w:p>
    <w:p w14:paraId="01B2C308"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Golub, B., &amp; Jackson, M. O. (2010). Naïve learning in social networks and the wisdom of crowds. American Economic Journal: Microeconomics, 2(1), 112–149.</w:t>
      </w:r>
    </w:p>
    <w:p w14:paraId="01B2C309"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Golub, B., &amp; Jackson, M. O. (2012). How homophily affects the speed of learning and best-response dynamics. Quarterly Journal of Economics, 127(3), 1287–1338.</w:t>
      </w:r>
    </w:p>
    <w:p w14:paraId="01B2C30A"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Katz, M. L., &amp; Shapiro, C. (1985). Network externalities, competition, and compatibility. American Economic Review, 75(3), 424–440.</w:t>
      </w:r>
    </w:p>
    <w:p w14:paraId="01B2C30B"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McPherson, M., Smith-Lovin, L., &amp; Cook, J. M. (2001). Birds of a feather: Homophily in social networks. Annual Review of Sociology, 27(1), 415–444.</w:t>
      </w:r>
    </w:p>
    <w:p w14:paraId="01B2C30C"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Oliver, P., Marwell, G., &amp; Teixeira, R. (1985). A theory of the critical mass. American Journal of Sociology, 91(3), 522–556.</w:t>
      </w:r>
    </w:p>
    <w:p w14:paraId="01B2C30E"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Rogers, E. M. (2003). Diffusion of Innovations (5th ed.). Free Press.</w:t>
      </w:r>
    </w:p>
    <w:p w14:paraId="01B2C30F"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Valente, T. W. (1996). Social network thresholds in the diffusion of innovations. Social Networks, 18(1), 69–89.</w:t>
      </w:r>
    </w:p>
    <w:p w14:paraId="01B2C310"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Watts, D. J. (2004). A simple model of global cascades on random networks. In E. Ostrom &amp; T. K. Ahn (Eds.), Foundations of Social Capital (pp. 316–334). Edward Elgar Publishing.</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AE5311"/>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19</Pages>
  <Words>7586</Words>
  <Characters>45373</Characters>
  <Application>Microsoft Office Word</Application>
  <DocSecurity>0</DocSecurity>
  <Lines>579</Lines>
  <Paragraphs>134</Paragraphs>
  <ScaleCrop>false</ScaleCrop>
  <Company/>
  <LinksUpToDate>false</LinksUpToDate>
  <CharactersWithSpaces>52776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31</cp:revision>
  <dcterms:created xsi:type="dcterms:W3CDTF">2026-03-17T11:34:00Z</dcterms:created>
  <dcterms:modified xsi:type="dcterms:W3CDTF">2026-03-20T04:05:00Z</dcterms:modified>
</cp:coreProperties>
</file>