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and constructive evaluations, which helped us improve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addressed every point raised by the reviewers and the journal editorial office. The major changes include: (1) a revised theoretical framework that explains why we integrate bounded confidence opinion dynamics with adoption thresholds, and how the model relates to both the Hegselmann–Krause and Deffuant traditions; (2) new controlled experiments that disentangle the coordination failure channel from the opinion clustering channel; (3) finite-size scaling analysis with N = 1,000 and N = 2,500 agents to confirm robustness; (4) a new discussion section comparing the BCAT model with alternative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new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including both the original NetLogo model and a Python 3 reimplementation with pre-configured parameter files for reproducing all reported results. We archived the repository on Zenodo (DOI: 10.5281/zenodo.19081523) for long-term accessibility and updated the Data Availability Statement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We prepared the manuscript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We updated the Data Availability Statement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chose option (2). The original figures were screenshots from the NetLogo GUI, which may contain copyrighted visual elements belonging to the NetLogo platform. To resolve this, we re-implemented the BCAT model in Python 3 and regenerated all six figures (Figs 2, 4, 5, 6, 10, 11) using our own visualization code. The revised figures present equivalent simulation results under identical parameter configurations, and all visual elements are entirely our original work.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thoughtful and constructive evaluation. The reviewer’s comments—particularly the identification of two distinct mechanism channels and the call for distinguishing predictions relative to alternative theories—guided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agree that the original manuscript presented the two model components too modularly, leaving the reader to infer their interaction logic from the pseudocode. In the revised manuscript, we added two new paragraphs—one at the end of the Related Models section and one at the opening of the Simulation Model Specifications section—that explain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DeGroot-style averaging models (Golub &amp; Jackson, 2010, 2012; Cheng et al., 2026) assume that all agents accept influence from all neighbors, leading to guaranteed convergence toward consensus under mild connectivity conditions. This property makes the DeGroot framework ill-suited for studying the “best game no one played” phenomenon, because it cannot generate opinion fragmentation—a key mechanism through which positive average sentiment may coexist with insufficient local support for adoption. Voter model dynamics are discrete and memoryless (each agent randomly copies a neighbor’s binary state) and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makes bounded confidence a suitable partner for the adoption threshold mechanism, because fragmentation creates the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neither component produces alone. The most important is the</w:t>
      </w:r>
      <w:r>
        <w:rPr>
          <w:rFonts w:ascii="Arial" w:eastAsia="Times New Roman" w:hAnsi="Arial" w:cs="Arial"/>
          <w:b/>
          <w:bCs/>
        </w:rPr>
        <w:t xml:space="preserve">bidirectional feedback loop between adoption status and </w:t>
        <w:lastRenderedPageBreak/>
        <w:t>opinion exchange</w:t>
      </w:r>
      <w:r>
        <w:rPr>
          <w:rFonts w:ascii="Arial" w:eastAsia="Times New Roman" w:hAnsi="Arial" w:cs="Arial"/>
        </w:rPr>
        <w:t>. In the BCAT model, opinion exchange rules depend on the adoption statuses of both interacting agents: when one agent has adopted and the other has not, the exchange follows asymmetric persuasion logic (the adopted agent exerts stronger influence); when both have adopted, attitudes converge toward the more positive pole; when neither has adopted, standard bidirectional convergence applies. The adoption decision—ostensibly a downstream consequence of opinion formation—thus feeds back into the opinion dynamics process, creating a coupled dynamical system whose behavior cannot be predicted from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Two new paragraphs have been added to the manuscript. (1) At the end of the Related Models section, a paragraph now explicitly argues why bounded confidence—rather than DeGroot-style averaging (Golub &amp; Jackson, 2010, 2012; Cheng et al., 2026) or voter model dynamics—is the theoretically necessary complement to threshold-based adoption, on the grounds that only bounded confidence can sustain persistent opinion fragmentation as a long-run equilibrium property, thereby generating the endogenous pre-filter on adoption eligibility that produces the opinion–adoption gap. (2) At the opening of the Simulation Model Specifications section, a paragraph identifies two emergent structural properties unique to the combined BCAT framework: a dual-filter mechanism captured by the inequality 0 ≤ GSI ≤ FRI ≤ 1, and an adoption-to-opinion feedback loop in which adopted agents selectively reshape opinion trajectories among bounded-confidence-reachable neighbors (Algorithm 3, Scenarios 1.1 and 2.2). References to Golub &amp; Jackson (2010, 2012), Cheng et al. (2026), and McPherson et al. (2001) have been added.</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We appreciate the identification of these two distinct mechanism channels. We agree that disentangling their respective contributions deepens the paper’s theoretical contribution. Following this suggestion, we designed three controlled mechanism decomposition experiments (MD-A, MD-B, MD-C) within the BCAT simulation framework, using parameter configurations that selectively disable one channel while preserving the other. We report results in a new subsection titled “Mechanism decomposition: Coordination failure versus opinion clustering” and an accompanying new figure (Fig 12).</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lastRenderedPageBreak/>
        <w:t xml:space="preserve">Experiment MD-A (Coordination Failure Isolated). </w:t>
      </w:r>
      <w:r>
        <w:rPr>
          <w:rFonts w:ascii="Arial" w:eastAsia="Times New Roman" w:hAnsi="Arial" w:cs="Arial"/>
        </w:rPr>
        <w:t>We disabled opinion dynamics while ensuring universal positive attitudes by setting avg-of-attitudes = 80 with std-of-attitudes = 0, yielding att = 81 &gt; 50 for all non-pioneer agents, and bounded-confidence = 10 (the slider minimum). The attitude distance between pioneers (att = 100) and non-pioneers (att = 81) equals 19, which exceeds the communication threshold, so no opinion exchange occurs. FRI = 1.0 is guaranteed throughout. We swept avg-of-thresholds from 10 to 70, with 1,000 runs per point on both regular lattice and small-world (p = 0.10)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Experiment MD-B (Opinion Clustering Isolated). </w:t>
      </w:r>
      <w:r>
        <w:rPr>
          <w:rFonts w:ascii="Arial" w:eastAsia="Times New Roman" w:hAnsi="Arial" w:cs="Arial"/>
        </w:rPr>
        <w:t>We set no-of-pioneers = 0, eliminating all adoption seeds. GSI remains at zero throughout, so opinion dynamics operates in complete isolation from adoption feedback. We used avg-of-attitudes = 50, std-of-attitudes = 15, and bounded-confidence = 50, with 1,000 runs. The key outcome is FRI at t = 300, which measures the fraction of agents retaining positive attitudes after opinion clustering reaches steady state.</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Experiment MD-C (Full BCAT Baseline). We ran the full model with MD-B’s opinion parameters plus no-of-pioneers = 5, sweeping avg-of-thresholds from 10 to 70. Results (30,000 total simulation runs, 1,000 per configuration): MD-A reveals a sharp phase transition in coordination dynamics between avg-of-thresholds = 30 (GSI = 0.976) and 40 (GSI = 0.026) on the regular lattice; at high thresholds (40–70), only the five pioneers adopt (GSI ≈ 0.013). MD-B shows that opinion clustering alone reduces FRI to 0.600 (lattice) and 0.618 (small-world)—a 40% contraction. The striking MD-C finding is that FRI recovers to approximately 1.0 across all threshold values, because the user-friendly testimony effect (Algorithm 3, Scenarios 1.1 and 2.2) pulls bounded-confidence-reachable neighbors above the attitude threshold. The opinion clustering contribution (1 − FRI) to the total gap is therefore negligible in the full model, and the coordination failure channel (FRI − GSI) dominates the gap. This reveals that the testimony effect acts as an endogenous corrective mechanism that counteracts opinion clustering—but only when the adoption cascade propagates.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A new subsection “Mechanism decomposition: Coordination failure versus opinion clustering” has been added to the Results section, reporting three controlled experiments (MD-A, MD-B, MD-C; 30,000 total runs across regular lattice and small-world topologies). Key findings: (1) MD-A reveals a phase transition in coordination failure between avg-of-thresholds = 30 (GSI = 0.976) and 40 (GSI = 0.026); (2) MD-B shows opinion clustering alone reduces FRI to 0.600; (3) MD-C demonstrates that the testimony effect recovers FRI to ≈1.0, making coordination failure the dominant channel. A new Fig 12 presents the two-panel decomposition. A new paragraph in the Discussion interprets the intervention implications of the two channels.</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 xml:space="preserve">We agree that the motivating cases deserved deeper treatment. In the revised manuscript, we inserted</w:t>
        <w:lastRenderedPageBreak/>
        <w:t>case-specific interpretive paragraphs into the Discussion section, positioned after the parametric discussion most relevant to each case. Each paragraph maps the historically documented features of the case onto BCAT model parameters and simulation outcomes. We do not claim formal calibration but ground the theoretical interpretation in the known empirical characteristics of each example. No new simulations were required; these additions are interpretive elaborations based on existing sensitivity analysis results.</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We discuss the Palm case after the avg-of-thresholds paragraph: mainstream consumers required visible evidence of widespread peer adoption before committing to an unfamiliar device, corresponding to high avg-of-thresholds on a regular lattice where localized interactions prevented inter-neighborhood cascading. As illustrated in Fig 5, this configuration produces steadily rising FRI alongside near-zero GSI—precisely the Palm scenario.</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We discuss the Taiwanese film case after the avg-of-attitudes paragraph: the cinephile community held strongly positive attitudes, but the general audience’s baseline predisposition toward dark Taiwanese drama was low (low avg-of-attitudes), and the attitude gap between the two communities exceeded the bounded confidence threshold, preventing opinion propagation. As shown in Fig 8c–d, low avg-of-attitudes produces a plateau in adoption outcomes insensitive to other parameter variation.</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We discuss the SOA case after the bounded-confidence paragraph: the primary barrier was the inability of technical architects to communicate across the professional vocabulary gap separating them from enterprise decision-makers—a textbook bounded-confidence clustering failure. As shown in Fig 8a–b, low bounded-confidence severely limits cross-cluster influence. The 2008 financial crisis then functioned as an exogenous negative shock to avg-of-attitudes. We added a reference to Erl (2005) for scholarly grounding.</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mappings are qualitative and interpretive: the BCAT model’s abstract 1–100 attitude scale cannot be directly calibrated to real-world consumer data. The model’s value lies in capturing structural mechanisms rather than providing quantitative predictions for any specific product or market.</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Three case-specific interpretive paragraphs have been inserted into the Discussion section, each positioned after the parametric discussion most relevant to the case: (1) Palm handheld after the avg-of-thresholds paragraph, mapping the coordination failure on regular lattice topology to Fig 5; (2) The Bold, The Corrupt and The Beautiful after the avg-of-attitudes paragraph, mapping the attitude baseline gap to the adoption plateau in Fig 8c–d; (3) SOA after the bounded-confidence paragraph, mapping the professional vocabulary gap to bounded-confidence clustering failure in Fig 8a–b, with the 2008 crisis as an exogenous avg-of-attitudes shock. A reference to Erl (2005) has been added for scholarly grounding of the SOA case.</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Other theories can also account for the opinion–adoption gap: rational herding and information cascades (Banerjee 1992), network externalities and coordination games (Katz and Shapiro 1985), and global games </w:t>
        <w:lastRenderedPageBreak/>
        <w:t>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suggestion substantially sharpens the paper’s theoretical positioning. We added a dedicated set of paragraphs to the Discussion section, positioned after the mechanism decomposition discussion and before the parameter-specific strategy recommendations, that systematically compares the BCAT model with the three alternative frameworks identified by the reviewer and articulates the structural differences in mechanism, comparative statics, and empirical identifiability.</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Information cascades can therefore produce widespread adoption even when private attitudes are not uniformly positive (herding overrides private information), whereas the BCAT model strictly requires positive attitudes as a necessary condition for adoption. This generates a testable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coordination games predict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higher-order belief uncertainty: even when all agents hold favorable attitudes, uncertainty about whether others also hold favorable attitudes (and whether others know that others do) can prevent coordinated action. The critical distinction from BCAT is that global games are inherently static—they do not model the temporal evolution of attitudes. BCAT, by contrast, can explain time-dependent phenomena such as attitudes that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by discussing how future empirical research could discriminate among these theories.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changes: </w:t>
      </w:r>
      <w:r>
        <w:rPr>
          <w:rFonts w:ascii="Arial" w:eastAsia="Times New Roman" w:hAnsi="Arial" w:cs="Arial"/>
        </w:rPr>
        <w:t xml:space="preserve">Six new paragraphs have been added to the Discussion section comparing BCAT </w:t>
        <w:lastRenderedPageBreak/>
        <w:t>with three alternative frameworks. Key distinguishing predictions: (1) vs. Banerjee (1992): BCAT produces S-curve adoption (Figs 4, 6a) rather than step-function cascades, and social influence operates through attitude transmission rather than Bayesian inference; (2) vs. Katz &amp; Shapiro (1985): BCAT predicts larger adoption gaps in clustered networks (supported by Table 2 Feature Importance data), opposite to the coordination game prediction; (3) vs. Morris &amp; Shin (2003): BCAT contains no higher-order belief mechanism—when FRI = 1.0 and thresholds are low, adoption necessarily occurs (confirmed by MD-A experiments). References to Banerjee (1992), Katz &amp; Shapiro (1985), and Morris &amp; Shin (2003) have been added.</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catching this error. We confirmed that the text “Hence, the source code used for this project may require significant modification to be applied to new studies” is a technical annotation from the BCAT simulation codebase that was inadvertently introduced into the title field during manuscript preparation. This is a field contamination error, not an incorrect citation. The correct title is “A loud but harsh voice: The impact of celebrity endorsement on online WOM,” published in Journal of Management Science (管理科学), 2020, volume 33, issue 2, pages 114–126. We corrected this in the revised manuscript and conducted a systematic review of all remaining reference entries, confirming that the error is isolated to this single entry.</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with the verified title and 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technically precise observation. We address it in two parts.</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Part 1: The integer attitude scale is a deliberate and mathematically equivalent discretization. The integer scale [1, 100] is a uniform discretization of the continuous interval [0, 1] into 100 equally spaced levels, where each integer unit corresponds to an interval of 0.01. The bounded confidence parameter max-opinion-distance follows the same convention: a value of 40 corresponds to a confidence threshold of ε = 0.40 in the standard literature. We made this design choice to facilitate sensitivity analysis and to align the attitude scale with survey-style measurement instruments. We added a note in the Simulation Model Specifications section stating this equivalence.</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Part 2: The opinion update mechanism corresponds to the simple bounded confidence Deffuant model, not the Relative Agreement variant. </w:t>
      </w:r>
      <w:r>
        <w:rPr>
          <w:rFonts w:ascii="Arial" w:eastAsia="Times New Roman" w:hAnsi="Arial" w:cs="Arial"/>
        </w:rPr>
        <w:t>The reviewer’s deeper observation concerns the relationship between the mathematical description in the Related Models section and the actual update mechanism in Algorithm 3. Section 2 of the original manuscript introduces the Deffuant et al. (2002) Relative Agreement (RA) model, which features agent-specific, time-varying uncertainty parameters and computes attitude adjustments as a function of confidence interval overlap (Equations 1 and 2). However, the BCAT opinion update procedure implements the rule att_new = round(C + μ × (B − C)), where μ is the fixed convergence-rate parameter. This rule does not involve any uncertainty parameter, does not compute confidence interval overlap, and does not update any agent-specific confidence bound. It is structurally equivalent to the simple Deffuant bounded confidence model (Deffuant et al., 2000)—specifically, the pairwise random interaction variant in which two agents adjust their opinions by a fixed fraction μ of their difference, provided the difference falls below a global fixed threshold ε.</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Manuscript changes: </w:t>
      </w:r>
      <w:r>
        <w:rPr>
          <w:rFonts w:ascii="Arial" w:eastAsia="Times New Roman" w:hAnsi="Arial" w:cs="Arial"/>
        </w:rPr>
        <w:t xml:space="preserve">We revised Section 2 accordingly. We retained the description of the RA model and its equations as literature context, but added a disambiguation sentence stating that the BCAT model does not implement the full RA update rule. A new paragraph positions the BCAT opinion update mechanism as a networked, discretized, adoption-status-conditioned extension of the simple Deffuant bounded confidence model (Deffuant et al., 2000). A new comparative table (Table 3) summarizes the structural relationships among the HK</w:t>
        <w:lastRenderedPageBreak/>
        <w:t>model, the Deffuant RA model, and the BCAT opinion component across eight dimensions. We rewrote the Algorithm 3 description in the Simulation Model Specifications section to specify the fixed-rate convergence rule, the ε = max-opinion-distance/100 equivalence, and the absence of any agent-specific uncertainty parameter. Table 1 now includes a note on the integer-to-continuous mapping. These clarifications affect the theoretical positioning of the model but do not require any changes to the simulation itself.</w:t>
      </w:r>
    </w:p>
    <w:p w14:paraId="6169ABFE" w14:textId="12517D4E" w:rsidR="005150AD" w:rsidRPr="00EB63D9" w:rsidRDefault="00000000">
      <w:pPr>
        <w:spacing w:after="160" w:line="360" w:lineRule="auto"/>
        <w:rPr>
          <w:rFonts w:ascii="Arial" w:hAnsi="Arial" w:cs="Arial"/>
        </w:rPr>
      </w:pPr>
      <w:r>
        <w:rPr>
          <w:rFonts w:ascii="Arial" w:eastAsia="Times New Roman" w:hAnsi="Arial" w:cs="Arial"/>
          <w:b/>
          <w:bCs/>
        </w:rPr>
        <w:t xml:space="preserve">We emphasize </w:t>
      </w:r>
      <w:r>
        <w:rPr>
          <w:rFonts w:ascii="Arial" w:eastAsia="Times New Roman" w:hAnsi="Arial" w:cs="Arial"/>
        </w:rPr>
        <w:t>that these clarifications affect the model’s theoretical positioning but do not require any changes to the simulation itself. The BCAT model’s scientific contribution lies in integrating a bounded confidence opinion dynamics mechanism with adoption threshold diffusion, and in the adoption-status-conditioned feedback structure that generates the opinion–adoption gap. The revised framing makes this contribution more precise rather than diminishing it. We added a reference to the original simple Deffuant bounded confidence model (Deffuant et al., 2000).</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(1) A disambiguation sentence has been added after Equations 1 and 2, explicitly stating that the BCAT model does not implement the full RA update rule. (2) A new paragraph at the end of the Related Models section positions the BCAT opinion component as a networked, discretized, adoption-status-conditioned extension of the simple Deffuant bounded confidence model (Deffuant et al., 2000), with a fixed global ε = max-opinion-distance/100. (3) The Algorithm 3 description in the Simulation Model Specifications section has been rewritten to specify the fixed-rate convergence rule att_new = round(C + μ × (B − C)), the ε equivalence, and the absence of dynamic uncertainty parameters. (4) Table 1 now includes a note on the integer-to-continuous mapping for attitude values.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3): </w:t>
      </w:r>
      <w:r>
        <w:rPr>
          <w:rFonts w:ascii="Arial" w:eastAsia="Times New Roman" w:hAnsi="Arial" w:cs="Arial"/>
        </w:rPr>
        <w:t>A comparative table (Table 3) has been added at the end of the Related Models section, with columns for Model Feature, HK Model, Deffuant RA Model, and BCAT Opinion Component, covering eight dimensions: Interaction structure, Confidence threshold, Opinion space, Update timing, Uncertainty dynamics, Convergence parameter, Network structure, and Adoption-status conditioning.</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raising this methodological point. The BCAT model uses synchronous updating, implemented via the ask-concurrent command in NetLogo 4.0.5. Under ask-concurrent, every agent reads its neighbors’ attitude and adoption-status values as they existed at the beginning of the current time step, before any agent in that tick has written new values. All state changes computed during the tick are then applied collectively. This contrasts with the standard ask command, which processes agents in a random sequential</w:t>
        <w:lastRenderedPageBreak/>
        <w:t>order within each tick, allowing later-executing agents to observe state changes already made by earlier-executing agents in the same time step.</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We chose synchronous updating deliberately to eliminate order-dependent artifacts. Sequential updating would introduce a confound: the within-tick execution ordering of agents would itself become a source of outcome variability, making it difficult to attribute differences in simulation results to model parameters. By adopting ask-concurrent, we ensure that all randomness in the simulation comes from three well-defined stochastic elements—the random selection of a neighbor for each agent per tick, the initial random assignment of attitude and threshold values, and the random or clustered placement of pioneer agents—rather than from the arbitrary scheduling order of agent execution. The Python 3 reimplementation preserves this synchronous behavior by collecting all agents’ state readings before applying any updates within a given time step.</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Two new paragraphs have been added to the Simulation Model Specifications section, immediately following the adoption decision-making description. The first paragraph explains the synchronous update semantics of ask-concurrent and confirms that the Python 3 reimplementation preserves this behavior. The second paragraph states the methodological rationale: synchronous updating isolates the three intended sources of stochasticity (neighbor selection, initial condition sampling, pioneer placement) from order-dependent artifacts, ensuring that sensitivity analysis results in Table 3 reflect model parameter effects rather than scheduling artifacts.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 </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which is well-founded from a reporting transparency standpoint. As clarified in our response to R2-1, the integer scale [1, 100] used throughout the BCAT model is a uniform 100-level discretization of the continuous interval [0, 1], where each integer unit corresponds to an interval of 0.01. This scaling convention applies uniformly to both attitude values and adoption thresholds. An avg-of-thresholds value of 40, for instance, represents a mean adoption threshold of θ = 0.40 in the fractional notation standard in the diffusion literature (Watts, 2004; Valente, 1996), meaning that an agent adopts only when the proportion of its neighbors who have already adopted meets or exceeds 40%. The adoption decision rule of Algorithm 3 enforces this equivalence by computing the neighbor adoption proportion (a value in [0, 1]) and comparing it against theta/100. The two sides of the inequality therefore operate on identical scales, and the model’s mathematical behavior is exactly equivalent to a formulation using fractional thresholds in [0.01, 1.00].</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lastRenderedPageBreak/>
        <w:t>We acknowledge that the original manuscript did not make this scaling equivalence explicit. In the revised manuscript, we added a clarifying statement in the Table 1 parameter description for avg-of-thresholds and std-of-thresholds, and appended a footnote to Table 2 providing the fractional equivalents for the threshold parameter values used in the sensitivity analysis. No changes to the simulation code or model behavior are required.</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threshold definition): </w:t>
      </w:r>
      <w:r>
        <w:rPr>
          <w:rFonts w:ascii="Arial" w:eastAsia="Times New Roman" w:hAnsi="Arial" w:cs="Arial"/>
        </w:rPr>
        <w:t>The Table 1 description for avg-of-thresholds and std-of-thresholds now states: “Threshold values follow the same [1, 100] ≡ [0.01, 1.00] discretization convention as attitude values: in the adoption decision rule (Algorithm 3), the integer threshold is divided by 100 before comparison with the neighbor adoption proportion, yielding fractional thresholds consistent with the standard convention in the diffusion literature (Watts, 2004; Valente, 1996). For example, avg-of-thresholds = 40 corresponds to a mean fractional threshold of θ = 0.40, requiring at least 40% of an agent’s neighbors to have adopted before the agent itself adopts.”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 footnote has been added to Table 2 stating: “All avg-of-thresholds values are stored as integers in [1, 100] and are equivalent to fractional adoption thresholds in [0.01, 1.00] via the conversion θ = avg-of-thresholds/100, as implemented in the adoption decision rule of Algorithm 3. The sensitivity analysis sweeps avg-of-thresholds across the range [10, 70], corresponding to fractional thresholds of [0.10, 0.70].”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We computed the feature importance values using a Random Forest regression ensemble with 100 trees and the mean decrease in impurity (Gini importance) criterion, with all other hyperparameters at their default values. We added this information to the Sensitivity Analysis subsection of the Results section.</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We revised Table 3 to include standard errors for the Random Forest feature importance values, computed as the standard deviation of per-tree importance values across the 100-tree ensemble divided by √100. All SE values are ≤ 0.001 (rounding to 0.00 at two decimal places), reflecting the high stability of importance estimates over the large sample sizes used (N = 15,876 to 100,548). For the remaining four methods—multivariate regression, partial correlation, standardized regression, and parameter importance (Pearson correlation)—the reported values are deterministic analytical results given the input data, so standard errors are not applicable. A footnote in Table 3 clarifies this distinction.</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 xml:space="preserve">Following the reviewer’s prompt, we conducted a systematic audit of all values in Table 3 and discovered that the Parameter Importance section contained a copy-paste error: the values were inadvertently duplicated from the Standardized Regression section with rows and columns transposed. We corrected this error. The Parameter Importance rows now report Pearson correlation coefficients between each parameter and the adoption outcome variable, computed directly from the sensitivity analysis data. We also verified that the “All” row values across all five analysis methods are consistent with the aggregated dataset (N = 100,548 observations across four network topologies). We sincerely apologize for this error in the original submission.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(Sensitivity Analysis text):</w:t>
      </w:r>
      <w:r>
        <w:rPr>
          <w:rFonts w:ascii="Arial" w:eastAsia="Times New Roman" w:hAnsi="Arial" w:cs="Arial"/>
        </w:rPr>
        <w:t>A sentence has been added identifying the five statistical methods used, including: “Feature importance from a Random Forest regression ensemble (100 trees, mean decrease in impurity criterion, default hyperparameters).”</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Feature Importance values now include ±SE. The Parameter Importance section has been corrected with verified Pearson correlation values. A footnote explains that SE is computed from per-tree importances (all SE ≤ 0.001), and that the remaining four methods produce deterministic analytical results.</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robustness with respect to system size is important. We conducted finite-size scaling experiments at N=400 (20×20), N=900 (30×30), N=1,600 (40×40), and N=2,500 (50×50), using identical parameter configurations (avg-of-attitudes=50, std-of-attitudes=15, bounded-confidence=50, avg-of-thresholds swept from 10 to 70, 30 replications per configuration). The results confirm that the “best game no one played” phenomenon—high FRI coexisting with near-zero GSI—persists at all system sizes tested, confirming that the observed adoption failure is a robust collective behavior rather than a stochastic artifact of the N=400 baseline. The sharp phase transition at avg-of-thresholds between 30 and 40, and the dominance of avg-of-thresholds as the primary determinant of adoption outcomes, hold across all system sizes. We added a note at the end of the sensitivity analysis subsection in Results, and the experimental data are available in the public repository.</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A sentence has been added at the end of the sensitivity analysis subsection in the Results section, noting that finite-size scaling experiments at N=900, N=1,600, and N=2,500 confirmed the robustness of all qualitative phenomena, including the opinion–adoption gap, the phase transition at intermediate thresholds, and the dominance of avg-of-thresholds. The raw scaling data are deposited in the public repository.</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observation. We clarify the distinct roles of two terms used in the manuscript. The term “critical mass” is used descriptively, following Oliver et al. (1985), to refer to the minimum number of early adopters sufficient to initiate a self-sustaining adoption cascade. The numerical values cited in Figs. 4 and 6a—17 and 46 adopting agents—are informal observations from individual simulation runs and are not recorded by the simulation as measured quantities. They serve as illustrative descriptions of the cascade dynamics observed in those runs.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The term “critical point,” by contrast, has a precise operational definition within the BCAT framework and is directly recorded by the simulation. We define the critical point (t*) as the first time step at which GSI exceeds 0.5—that is, the first t at which adopters form a strict majority. The simulation computes and displays this value in real time, and records it in the output of each run. When t* is never reached, it is recorded as zero, indicating that the adoption process failed to achieve majority diffusion. We added an explicit definition of the critical point to the Results section of the revised manuscript.</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the mechanism decomposition experiments (described in our response to R1-2) document a sharp transition in GSI between avg-of-thresholds = 30 and 40, and the finite-size scaling experiments (R2-5) confirm that this transition persists across system sizes N = 400 through N = 2,500.</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(Results, evaluation metrics subsection): </w:t>
      </w:r>
      <w:r>
        <w:rPr>
          <w:rFonts w:ascii="Arial" w:eastAsia="Times New Roman" w:hAnsi="Arial" w:cs="Arial"/>
        </w:rPr>
        <w:t>A new paragraph defining the critical point (t*) as the first time step at which GSI exceeds 0.5 has been added after the FRI/GSI definitions. The definition notes that t* = 0 when the threshold is never reached, indicating the “best game no one played” outcome.</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real-world cases (Palm, Taiwanese cinema) are used only as anecdotal motivation. The authors should 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three case-specific paragraphs added to the Discussion section that revisit the motivating cases with qualitative parameter mappings. The discretization equivalence of the 1–100 attitude scale is addressed in our responses to R2-1 and R2-3.</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added a paragraph in the Discussion section (following the alternative theories comparison responding to R1-4) that contrasts BCAT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and cannot represent the continuous spectrum of attitude intensity central to the “best game no one played” phenomenon. In BCAT, two agents may both hold positive attitudes (e.g., att = 55 and att = 90) yet differ substantially in their proximity to the adoption eligibility threshold—a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private attitude. The BCAT model, by contrast, decouples attitude formation from the adoption decision, requiring both a positive attitude and sufficient neighbor adoption as independent preconditions. This two-layer structure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(Discussion, after alternative theories paragraphs):</w:t>
      </w:r>
      <w:r>
        <w:rPr>
          <w:rFonts w:ascii="Arial" w:eastAsia="Times New Roman" w:hAnsi="Arial" w:cs="Arial"/>
        </w:rPr>
        <w:t xml:space="preserve">"We further distinguish BCAT from two classes of coupled dynamical models. Voter models with inertia (Stark et al., 2008) generate metastable heterogeneous states but operate on binary opinion spaces, precluding the continuous attitude variation that </w:t>
        <w:lastRenderedPageBreak/>
        <w:t>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Reference “Gong et al. (2020)” has a mistake. The title field contains a fragment of a footnote regarding 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we corrected this error.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paragraphs in Related Models and Simulation Model Specifications sections — articulating why bounded confidence is the theoretically necessary complement to adoption thresholds (vs. DeGroot and voter model alternatives), and identifying the dual-filter mechanism and adoption-to-opinion feedback loop as emergent properties of the combined framework.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Related Models section: Distinguished the Deffuant RA model (Equations 1–2, retained as literature context) from the BCAT implementation (simple Deffuant BC variant); new positioning paragraph and Table 3 comparing HK, Deffuant RA, and BCAT across eight dimensions; rewritten Algorithm 3 description with explicit update rule; Deffuant et al. (2000) reference added.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Simulation Model Specifications section: Relocated Evaluation Indicators (FRI, GSI, critical point definitions) and Emergent Properties (dual-filter mechanism, feedback loop) from Results to end of this section, ensuring all terms are defined before first use. Added synchronous update scheme specification, threshold scaling conversion, and section roadmap. Pre-definition references to BCAT in the Related Models section replaced with descriptive language. (Responding to R2-2, R2-3, R2-6, and structural revision)</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subsection “Mechanism decomposition: Coordination failure versus opinion clustering” in Results — three controlled experiments (MD-A/B/C, 30,000 runs) with new Fig 12, plus new Discussion paragraph on intervention implications.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Finite-size scaling note added to sensitivity analysis subsection — experiments at N=900, 1,600, and 2,500 confirm robustness of all qualitative phenomena.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(Item removed: Robustness check for update scheme is no longer needed; synchronous update rationale is provided directly in the Simulation Model Specifications section.)</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3: Algorithm identification (Random Forest, 100 trees), standard errors for Feature Importance (±SE ≤ 0.001), corrected Parameter Importance values (Pearson correlations),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Three case-specific paragraphs in Discussion — Palm (avg-of-thresholds + Fig 5), Taiwanese film (avg-of-attitudes + Fig 8c–d), SOA (bounded-confidence + Fig 8a–b).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Discussion paragraphs: Alternative theories and distinguishing predictions — systematic comparison with Banerjee (1992), Katz &amp; Shapiro (1985), Morris &amp; Shin (2003), with testable discriminating predictions for each.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 12: Two-panel mechanism decomposition on regular lattice showing (a) MD-A coordination failure profile with phase transition, and (b) MD-C stacked decomposition of total adoption gap.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Finite-size scaling note added to sensitivity analysis subsection confirming robustness at N=900, 1,600, and 2,500.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lastRenderedPageBreak/>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Code and data: Public GitHub repository with Zenodo DOI; Supporting Information files S1–S4 with minimal 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074ED"/>
    <w:rsid w:val="0002428D"/>
    <w:rsid w:val="0006403B"/>
    <w:rsid w:val="00167C5F"/>
    <w:rsid w:val="00190302"/>
    <w:rsid w:val="001B1A5A"/>
    <w:rsid w:val="001D3EE9"/>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786DC9"/>
    <w:rsid w:val="008178F3"/>
    <w:rsid w:val="0088425A"/>
    <w:rsid w:val="008A71A0"/>
    <w:rsid w:val="00904E86"/>
    <w:rsid w:val="009912F2"/>
    <w:rsid w:val="00A01762"/>
    <w:rsid w:val="00AC1575"/>
    <w:rsid w:val="00AE5311"/>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19</Pages>
  <Words>7586</Words>
  <Characters>45373</Characters>
  <Application>Microsoft Office Word</Application>
  <DocSecurity>0</DocSecurity>
  <Lines>579</Lines>
  <Paragraphs>134</Paragraphs>
  <ScaleCrop>false</ScaleCrop>
  <Company/>
  <LinksUpToDate>false</LinksUpToDate>
  <CharactersWithSpaces>52776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31</cp:revision>
  <dcterms:created xsi:type="dcterms:W3CDTF">2026-03-17T11:34:00Z</dcterms:created>
  <dcterms:modified xsi:type="dcterms:W3CDTF">2026-03-20T04:05:00Z</dcterms:modified>
</cp:coreProperties>
</file>