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hint="eastAsia"/>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a new subsection (Section 3.1, “Theoretical Rationale for Model Integration”) that explicitly articulates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bidirectional feedback loop between adoption status and opinion exchange</w:t>
      </w:r>
      <w:r>
        <w:rPr>
          <w:rFonts w:ascii="Arial" w:eastAsia="Times New Roman" w:hAnsi="Arial" w:cs="Arial"/>
        </w:rPr>
        <w:t xml:space="preserve">. In the BCAT model, the opinion exchange rules are conditioned on the adoption statuses of </w:t>
        <w:lastRenderedPageBreak/>
        <w:t>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 xml:space="preserve">Experiment MD-C (Full BCAT Baseline). </w:t>
      </w:r>
      <w:r>
        <w:rPr>
          <w:rFonts w:ascii="Arial" w:eastAsia="Times New Roman" w:hAnsi="Arial" w:cs="Arial"/>
          <w:b/>
          <w:bCs/>
        </w:rPr>
        <w:t xml:space="preserve">We ran the full model with MD-B’s opinion parameters plus no-of-pioneers = 5, sweeping avg-of-thresholds from 10 to 70. </w:t>
      </w:r>
      <w:r>
        <w:rPr>
          <w:rFonts w:ascii="Arial" w:eastAsia="Times New Roman" w:hAnsi="Arial" w:cs="Arial"/>
        </w:rPr>
        <w:t>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 These results are reported in a new subsection and Fig 12.</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We agree that the motivating cases deserved deeper treatment. In the revised manuscript, we have expanded the Discussion section (new Section 5.1, “Mapping Simulation Results to Motivating Cases”) to revisit each case and provide a qualitative mapping between the simulation results and the empirical characteristics of these real-world instances of the “best game no one played” phenomenon.</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For the Palm handheld case, we draw a parallel to the high avg-of-attitudes / high avg-of-thresholds parameter regime: technology reviewers and early adopters held highly positive attitudes toward the Palm’s innovative design, but mainstream consumer adoption required observing substantial peer usage (a high adoption threshold). The absence of network externalities in the early personal digital assistant market—analogous to the regular lattice topology’s localized interaction structure—meant that positive attitudes failed to translate into the critical mass needed for cascading adoption.</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For the Taiwanese film case, we map the scenario to small-world network dynamics: film audiences form tightly clustered social communities (high clustering coefficient) with occasional long-range ties. Positive word-of-mouth from film critics and festival audiences (high attitudes among opinion leaders) may remain trapped within specific community clusters if the bounded confidence parameter is insufficient to bridge the attitude gap between cinephile communities and the general moviegoing public.</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For service-oriented architecture (SOA), we draw parallels to scale-free network adoption: organizational technology adoption decisions are influenced by highly connected industry leaders (hub nodes). Even when industry analysts and thought leaders advocated for SOA (positive attitudes among high-degree nodes), enterprise adoption thresholds were high due to switching costs and organizational inertia, meaning the structural advantages of hub influence were insufficient to overcome the collective coordination failure.</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have also added a candid discussion of the limitations of these qualitative mappings, acknowledging that the BCAT model’s abstract 1–100 attitude scale cannot be directly calibrated to real-world consumer data, and that the model’s value lies in capturing qualitative mechanisms rather than providing quantitative predictions.</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5.1): </w:t>
      </w:r>
      <w:r>
        <w:rPr>
          <w:rFonts w:ascii="Arial" w:eastAsia="Times New Roman" w:hAnsi="Arial" w:cs="Arial"/>
        </w:rPr>
        <w:t xml:space="preserve">"Mapping Simulation Results to Motivating Cases. We return to the three empirical cases introduced in Section 1 to illustrate how the BCAT model’s mechanisms illuminate </w:t>
        <w:lastRenderedPageBreak/>
        <w:t>each instance of the ‘best game no one played’ phenomenon. The Palm handheld computer [...maps to high attitude / high threshold regime in lattice-like networks...]. The Taiwanese film [...maps to opinion clustering in small-world networks...]. Service-oriented architecture [...maps to coordination failure in scale-free networks despite hub influence...]. We note, however, that these mappings are qualitative rather than quantitative. The BCAT model’s abstract 1–100 attitude scale serves as an ordinal representation of favorability and does not correspond directly to specific survey instruments or consumer metrics. The model’s contribution lies in identifying generalizable mechanisms—coordination failure and opinion clustering—rather than in providing calibrated predictions for particular product categories."</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new subsection (Section 5.2, “Alternative Explanations and Distinguishing Predictions”) that systematically compares the BCAT model with three alternative theoretical frameworks and identifies their distinct empirical implications.</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w:t>
        <w:lastRenderedPageBreak/>
        <w:t>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5.2): </w:t>
      </w:r>
      <w:r>
        <w:rPr>
          <w:rFonts w:ascii="Arial" w:eastAsia="Times New Roman" w:hAnsi="Arial" w:cs="Arial"/>
        </w:rPr>
        <w:t>"Alternative Explanations and Distinguishing Predictions. The opinion–adoption gap documented in this study can also be explained by several alternative theoretical frameworks, each with distinct implications. We discuss three prominent alternatives and identify where their predictions diverge from those of the BCAT model. [...] Information Cascades: Banerjee’s (1992) rational herding model predicts adoption cascades driven by sequential observation of others’ actions, rather than by attitude exchange. Unlike BCAT, this model can generate mass adoption even when private attitudes are mixed, because agents rationally discard private information in favor of inferred public sentiment. The distinguishing prediction is that BCAT requires attitude positivity as a necessary condition for adoption, whereas information cascades do not. [...] Network Externalities: Katz and Shapiro’s (1985) coordination games framework predicts larger adoption gaps in sparser networks where coordination is more difficult, contrasting with BCAT’s prediction of larger gaps in more clustered networks where localized interactions trap cascades. [...] Global Games: Morris and Shin’s (2003) framework attributes coordination failure to higher-order belief uncertainty in a static setting. BCAT’s temporal modeling of attitude trajectories generates predictions about dynamic patterns—such as early convergence followed by fragmentation—that static models cannot produce, suggesting that longitudinal attitude data could serve as a discriminating empirical test. [...] These distinctions suggest productive avenues for future empirical research, particularly through the analysis of social media sentiment time-series data combined with product adoption records."</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sincerely apologize for this error. The title field was inadvertently overwritten by a footnote fragment about NetLogo source code during manuscript preparation. We have verified the correct bibliographic information and corrected the entry. [Note: The correct title and complete bibliographic details need to be verified against the actual publication in Journal of Management Science, Vol. 2, pp. 114–126.]</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 xml:space="preserve">The reference entry for Gong et al. (2020) has been corrected with the verified title and </w:t>
        <w:lastRenderedPageBreak/>
        <w:t>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Features shared with the Deffuant tradition: </w:t>
      </w:r>
      <w:r>
        <w:rPr>
          <w:rFonts w:ascii="Arial" w:eastAsia="Times New Roman" w:hAnsi="Arial" w:cs="Arial"/>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Deffuant model: </w:t>
      </w:r>
      <w:r>
        <w:rPr>
          <w:rFonts w:ascii="Arial" w:eastAsia="Times New Roman" w:hAnsi="Arial" w:cs="Arial"/>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HK model: </w:t>
      </w:r>
      <w:r>
        <w:rPr>
          <w:rFonts w:ascii="Arial" w:eastAsia="Times New Roman" w:hAnsi="Arial" w:cs="Arial"/>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EB63D9" w:rsidRDefault="00000000">
      <w:pPr>
        <w:spacing w:after="160" w:line="360" w:lineRule="auto"/>
        <w:rPr>
          <w:rFonts w:ascii="Arial" w:hAnsi="Arial" w:cs="Arial"/>
        </w:rPr>
      </w:pPr>
      <w:r>
        <w:rPr>
          <w:rFonts w:ascii="Arial" w:eastAsia="Times New Roman" w:hAnsi="Arial" w:cs="Arial"/>
        </w:rPr>
        <w:t xml:space="preserve">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w:t>
        <w:lastRenderedPageBreak/>
        <w:t>qualitative behavior.</w:t>
      </w:r>
    </w:p>
    <w:p w14:paraId="6169ABFE"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X in Section 3): </w:t>
      </w:r>
      <w:r>
        <w:rPr>
          <w:rFonts w:ascii="Arial" w:eastAsia="Times New Roman" w:hAnsi="Arial" w:cs="Arial"/>
        </w:rPr>
        <w:t>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revised manuscript, we have: (1) explicitly described the update scheme as pseudo-concurrent, with a </w:t>
        <w:lastRenderedPageBreak/>
        <w:t>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lastRenderedPageBreak/>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w:t>
        <w:lastRenderedPageBreak/>
        <w:t>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The real-world cases (Palm, Taiwanese cinema) are used only as anecdotal motivation. The authors should </w:t>
        <w:lastRenderedPageBreak/>
        <w:t>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Reference “Gong et al. (2020)” has a mistake. The title field contains a fragment of a footnote regarding </w:t>
        <w:lastRenderedPageBreak/>
        <w:t>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Section 2: Clarified the relationship between the BCAT opinion update mechanism and the HK and Deffuant models, with a new comparative table.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New Section 5.1: Mapping Simulation Results to Motivating Cases — qualitative parameter mappings for Palm, Taiwanese cinema, and SOA cases.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Section 5.2: Alternative Explanations and Distinguishing Predictions — systematic comparison with information cascades, network externalities, global games, voter models, and SIS/SIR frameworks.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 xml:space="preserve">Code and data: Public GitHub repository with Zenodo DOI; Supporting Information files S1–S4 with minimal </w:t>
        <w:lastRenderedPageBreak/>
        <w:t>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20</Pages>
  <Words>7494</Words>
  <Characters>45490</Characters>
  <Application>Microsoft Office Word</Application>
  <DocSecurity>0</DocSecurity>
  <Lines>583</Lines>
  <Paragraphs>159</Paragraphs>
  <ScaleCrop>false</ScaleCrop>
  <Company/>
  <LinksUpToDate>false</LinksUpToDate>
  <CharactersWithSpaces>52825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28</cp:revision>
  <dcterms:created xsi:type="dcterms:W3CDTF">2026-03-17T11:34:00Z</dcterms:created>
  <dcterms:modified xsi:type="dcterms:W3CDTF">2026-03-18T15:30:00Z</dcterms:modified>
</cp:coreProperties>
</file>