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two new paragraphs—one at the end of the Related Models section and one at the opening of the Simulation Model Specifications section—that explicitly articulate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 xml:space="preserve">bidirectional feedback loop between adoption status and </w:t>
      </w:r>
      <w:r>
        <w:rPr>
          <w:rFonts w:ascii="Arial" w:eastAsia="Times New Roman" w:hAnsi="Arial" w:cs="Arial"/>
          <w:b/>
          <w:bCs/>
        </w:rPr>
        <w:lastRenderedPageBreak/>
        <w:t>opinion exchange</w:t>
      </w:r>
      <w:r>
        <w:rPr>
          <w:rFonts w:ascii="Arial" w:eastAsia="Times New Roman" w:hAnsi="Arial" w:cs="Arial"/>
        </w:rPr>
        <w:t>. In the BCAT model, the opinion exchange rules are conditioned on the adoption statuses of 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are grateful for this incisive identification of the two distinct mechanism channels. We fully agree that disentangling their respective contributions substantially deepens the paper’s theoretical contribution. Following the reviewer’s suggestion, we designed and conducted three controlled mechanism decomposition experiments (MD-A, MD-B, MD-C) within the existing BCAT simulation framework, exploiting parameter configurations that selectively disable one channel while preserving the other. Results are reported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Because the attitude distance between pioneers (att = 100) and non-pioneers (att = 81) equals 19, which exceeds the communication threshold,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opinion dynamics operates in complete isolation from adoption feedback. We used avg-of-attitudes = 50, std-of-attitudes = 15,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Consequently, the opinion clustering contribution (1 − FRI) to the total gap is negligible in the full model, and the gap is dominated by the coordination failure channel (FRI − GSI).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have inserted </w:t>
      </w:r>
      <w:r>
        <w:rPr>
          <w:rFonts w:ascii="Arial" w:eastAsia="Times New Roman" w:hAnsi="Arial" w:cs="Arial"/>
        </w:rPr>
        <w:lastRenderedPageBreak/>
        <w:t>case-specific interpretive paragraphs into the Discussion section, positioned immediately after the parametric discussion that is most mechanistically relevant to each case. Each paragraph maps the historically documented features of the case onto the corresponding BCAT model parameters and simulation outcomes, without claiming formal calibration but grounding the theoretical interpretation in the known empirical characteristics of each example. No new simulations are required; these additions constitute interpretive elaborations grounded in the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The Palm case is discussed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The Taiwanese film case is discussed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The SOA case is discussed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A reference to Erl (2005) has been added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r>
      <w:r>
        <w:rPr>
          <w:rFonts w:ascii="Arial" w:eastAsia="Times New Roman" w:hAnsi="Arial" w:cs="Arial"/>
          <w:i/>
          <w:iCs/>
          <w:color w:val="404040"/>
        </w:rPr>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r>
      <w:r>
        <w:rPr>
          <w:rFonts w:ascii="Arial" w:eastAsia="Times New Roman" w:hAnsi="Arial" w:cs="Arial"/>
        </w:rPr>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Upon investigation,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constitutes a field contamination error, not an incorrect citation. The correct title is “A loud but harsh voice: The impact of celebrity endorsement on online WOM,” published in Journal of Management Science (管理科学), 2020, volume 33, issue 2, pages 114–126. This has been corrected in the revised manuscript. We additionally conducted a systematic review of all remaining reference entries and confirm that this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and important observation. We address this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constitutes a uniform discretization of the continuous interval [0, 1] into 100 equally spaced levels, where each integer unit corresponds to an interval of 0.01 in the original continuous space. The bounded confidence parameter max-opinion-distance follows the same scaling convention: a value of 40 corresponds to a confidence threshold of ε = 0.40 in the standard literature. This design choice was made to facilitate sensitivity analysis and to align the attitude scale with survey-style measurement instruments. We have added a note in the Simulation Model Specifications section explicitly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and fully valid observation concerns the relationship between the mathematical description in the Related Models section and the actual update mechanism in Algorithm 3. Section 2 of the original manuscript introduces and formalizes the Deffuant et al. (2002) Relative Agreement (RA) model, which features agent-specific, time-varying uncertainty parameters and computes attitude adjustments as a function of confidence interval overlap (Equations 1 and 2). However, the BCAT opinion update procedures implement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have revised Section 2 accordingly. The description of the RA model and its equations has been retained as literature context, but a disambiguation sentence now explicitly states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 </w:t>
      </w:r>
      <w:r>
        <w:rPr>
          <w:rFonts w:ascii="Arial" w:eastAsia="Times New Roman" w:hAnsi="Arial" w:cs="Arial"/>
        </w:rPr>
        <w:lastRenderedPageBreak/>
        <w:t>model, the Deffuant RA model, and the BCAT opinion component across eight dimensions. The Algorithm 3 description in the Simulation Model Specifications section has been rewritten to explicitly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its integration of a bounded confidence opinion dynamics mechanism with adoption threshold diffusion, and in the adoption-status-conditioned feedback structure that generates the opinion–adoption gap. The revised framing makes this contribution more precise rather than diminishing it. A reference to the original simple Deffuant bounded confidence model (Deffuant et al., 2000) has been added.</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w:t>
      </w:r>
      <w:r>
        <w:rPr>
          <w:rFonts w:ascii="Arial" w:eastAsia="Times New Roman" w:hAnsi="Arial" w:cs="Arial"/>
        </w:rPr>
        <w:lastRenderedPageBreak/>
        <w:t>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(1) explicitly described the update scheme as pseudo-concurrent, with a 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w:t>
      </w:r>
      <w:r>
        <w:rPr>
          <w:rFonts w:ascii="Arial" w:eastAsia="Times New Roman" w:hAnsi="Arial" w:cs="Arial"/>
        </w:rPr>
        <w:lastRenderedPageBreak/>
        <w:t>training set, with the five model parameters as input features and GSI as the response variable. Standard errors were estimated via [bootstrap / permutation] with [N] replications. The ‘All’ configuration pools data 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 xml:space="preserve">"Finite-Size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t>
      </w:r>
      <w:r>
        <w:rPr>
          <w:rFonts w:ascii="Arial" w:eastAsia="Times New Roman" w:hAnsi="Arial" w:cs="Arial"/>
        </w:rPr>
        <w:lastRenderedPageBreak/>
        <w:t>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lastRenderedPageBreak/>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lastRenderedPageBreak/>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19</Pages>
  <Words>7487</Words>
  <Characters>44774</Characters>
  <Application>Microsoft Office Word</Application>
  <DocSecurity>0</DocSecurity>
  <Lines>574</Lines>
  <Paragraphs>157</Paragraphs>
  <ScaleCrop>false</ScaleCrop>
  <Company/>
  <LinksUpToDate>false</LinksUpToDate>
  <CharactersWithSpaces>52104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30</cp:revision>
  <dcterms:created xsi:type="dcterms:W3CDTF">2026-03-17T11:34:00Z</dcterms:created>
  <dcterms:modified xsi:type="dcterms:W3CDTF">2026-03-20T00:37:00Z</dcterms:modified>
</cp:coreProperties>
</file>