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important methodological point. The BCAT model employs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is in contrast to the standard ask command, which processes agents in a random sequential 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The choice of synchronous updating was a deliberate methodological decision to eliminate order-dependent artifacts. Using sequential updating would introduce a confound: the within-tick execution ordering of agents would itself become a source of outcome variability, making it difficult to attribute differences in simulation results cleanly to model parameters. By adopting ask-concurrent, we ensure that all randomness in the simulation is sourced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semantics by collecting all agents’ state readings before any updates are applied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w:t>
        <w:lastRenderedPageBreak/>
        <w:t>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 xml:space="preserve">"Finite-Size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t>
        <w:lastRenderedPageBreak/>
        <w:t>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lastRenderedPageBreak/>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lastRenderedPageBreak/>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Explicit specification of the synchronous update scheme (ask-concurrent semantics) with methodological rationale for eliminating order-dependent artifacts,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19</Pages>
  <Words>7487</Words>
  <Characters>44774</Characters>
  <Application>Microsoft Office Word</Application>
  <DocSecurity>0</DocSecurity>
  <Lines>574</Lines>
  <Paragraphs>157</Paragraphs>
  <ScaleCrop>false</ScaleCrop>
  <Company/>
  <LinksUpToDate>false</LinksUpToDate>
  <CharactersWithSpaces>52104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30</cp:revision>
  <dcterms:created xsi:type="dcterms:W3CDTF">2026-03-17T11:34:00Z</dcterms:created>
  <dcterms:modified xsi:type="dcterms:W3CDTF">2026-03-20T00:37:00Z</dcterms:modified>
</cp:coreProperties>
</file>