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important methodological point. The BCAT model employs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is in contrast to the standard ask command, which processes agents in a random sequential </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The choice of synchronous updating was a deliberate methodological decision to eliminate order-dependent artifacts. Using sequential updating would introduce a confound: the within-tick execution ordering of agents would itself become a source of outcome variability, making it difficult to attribute differences in simulation results cleanly to model parameters. By adopting ask-concurrent, we ensure that all randomness in the simulation is sourced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semantics by collecting all agents’ state readings before any updates are applied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constitutes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This equivalence is enforced explicitly in the adoption decision rule of Algorithm 3, which computes the neighbor adoption proportion (a value in [0, 1]) and compares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text or tables. In the revised manuscript, we have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values were computed using a Random Forest regression ensemble with 100 trees and the mean decrease in impurity (Gini importance) criterion, with all other hyperparameters at their default values. This information has been added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3 has been revised to include standard errors for the Random Forest feature importance values. Standard errors were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and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Upon the reviewer’s prompt, we conducted a systematic audit of all values in Table 3 and discovered that the Parameter Importance section contained a copy-paste error: the values were inadvertently duplicated from the Standardized Regression section with rows and columns transposed. This error has been corrected. The Parameter Importance rows now report Pearson correlation coefficients between each parameter and the adoption outcome variable, computed directly from the sensitivity analysis data. We additionally verified that the “All” row values across all five analysis methods are consistent with the aggregated dataset (N = 100,548 observations across four network topologies). We sincerely apologize for this error in the original submission.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are preserved across all system sizes. We have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 xml:space="preserve">"We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w:t>
        <w:lastRenderedPageBreak/>
        <w:t>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