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Times New Roman" w:cs="Times New Roman" w:eastAsia="Times New Roman" w:hAnsi="Times New Roman"/>
          <w:b/>
          <w:bCs/>
          <w:sz w:val="36"/>
          <w:szCs w:val="36"/>
        </w:rPr>
        <w:t xml:space="preserve">Response to Reviewers</w:t>
      </w:r>
    </w:p>
    <w:p>
      <w:pPr>
        <w:spacing w:after="120"/>
        <w:jc w:val="center"/>
      </w:pPr>
      <w:r>
        <w:rPr>
          <w:rFonts w:ascii="Times New Roman" w:cs="Times New Roman" w:eastAsia="Times New Roman" w:hAnsi="Times New Roman"/>
          <w:sz w:val="24"/>
          <w:szCs w:val="24"/>
        </w:rPr>
        <w:t xml:space="preserve">Manuscript ID: PONE-D-26-01398</w:t>
      </w:r>
    </w:p>
    <w:p>
      <w:pPr>
        <w:spacing w:after="480"/>
        <w:jc w:val="center"/>
      </w:pPr>
      <w:r>
        <w:rPr>
          <w:rFonts w:ascii="Times New Roman" w:cs="Times New Roman" w:eastAsia="Times New Roman" w:hAnsi="Times New Roman"/>
          <w:i/>
          <w:iCs/>
          <w:sz w:val="24"/>
          <w:szCs w:val="24"/>
        </w:rPr>
        <w:t xml:space="preserve">"Exploring the ‘Best Game No One Played’ Phenomenon Using A Mixed Opinion Dynamics and Innovation Diffusion Model"</w:t>
      </w:r>
    </w:p>
    <w:p>
      <w:pPr>
        <w:spacing w:after="120"/>
        <w:jc w:val="center"/>
      </w:pPr>
      <w:r>
        <w:rPr>
          <w:rFonts w:ascii="Times New Roman" w:cs="Times New Roman" w:eastAsia="Times New Roman" w:hAnsi="Times New Roman"/>
          <w:sz w:val="24"/>
          <w:szCs w:val="24"/>
        </w:rPr>
        <w:t xml:space="preserve">Chung-Yuan Huang and Sheng-Wen Wang</w:t>
      </w:r>
    </w:p>
    <w:p>
      <w:r>
        <w:br w:type="page"/>
      </w:r>
    </w:p>
    <w:p>
      <w:pPr>
        <w:pStyle w:val="Heading1"/>
        <w:spacing w:after="200" w:before="360"/>
      </w:pPr>
      <w:r>
        <w:rPr>
          <w:rFonts w:ascii="Times New Roman" w:cs="Times New Roman" w:eastAsia="Times New Roman" w:hAnsi="Times New Roman"/>
          <w:b/>
          <w:bCs/>
          <w:sz w:val="28"/>
          <w:szCs w:val="28"/>
        </w:rPr>
        <w:t xml:space="preserve">Letter to the Academic Editor</w:t>
      </w:r>
    </w:p>
    <w:p>
      <w:pPr>
        <w:spacing w:after="160" w:line="360"/>
      </w:pPr>
      <w:r>
        <w:rPr>
          <w:rFonts w:ascii="Times New Roman" w:cs="Times New Roman" w:eastAsia="Times New Roman" w:hAnsi="Times New Roman"/>
          <w:sz w:val="22"/>
          <w:szCs w:val="22"/>
        </w:rPr>
        <w:t xml:space="preserve">Dear Prof. Krzysztof Malarz,</w:t>
      </w:r>
    </w:p>
    <w:p>
      <w:pPr>
        <w:spacing w:after="160" w:line="360"/>
      </w:pPr>
      <w:r>
        <w:rPr>
          <w:rFonts w:ascii="Times New Roman" w:cs="Times New Roman" w:eastAsia="Times New Roman" w:hAnsi="Times New Roman"/>
          <w:sz w:val="22"/>
          <w:szCs w:val="22"/>
        </w:rPr>
        <w:t xml:space="preserve">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pPr>
        <w:spacing w:after="160" w:line="360"/>
      </w:pPr>
      <w:r>
        <w:rPr>
          <w:rFonts w:ascii="Times New Roman" w:cs="Times New Roman" w:eastAsia="Times New Roman" w:hAnsi="Times New Roman"/>
          <w:sz w:val="22"/>
          <w:szCs w:val="22"/>
        </w:rPr>
        <w:t xml:space="preserve">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pPr>
        <w:spacing w:after="160" w:line="360"/>
      </w:pPr>
      <w:r>
        <w:rPr>
          <w:rFonts w:ascii="Times New Roman" w:cs="Times New Roman" w:eastAsia="Times New Roman" w:hAnsi="Times New Roman"/>
          <w:sz w:val="22"/>
          <w:szCs w:val="22"/>
        </w:rPr>
        <w:t xml:space="preserve">Below, we provide a point-by-point response to all journal requirements and reviewer comments. Reviewer comments are shown in </w:t>
      </w:r>
      <w:r>
        <w:rPr>
          <w:rFonts w:ascii="Times New Roman" w:cs="Times New Roman" w:eastAsia="Times New Roman" w:hAnsi="Times New Roman"/>
          <w:i/>
          <w:iCs/>
          <w:sz w:val="22"/>
          <w:szCs w:val="22"/>
        </w:rPr>
        <w:t xml:space="preserve">gray italics</w:t>
      </w:r>
      <w:r>
        <w:rPr>
          <w:rFonts w:ascii="Times New Roman" w:cs="Times New Roman" w:eastAsia="Times New Roman" w:hAnsi="Times New Roman"/>
          <w:sz w:val="22"/>
          <w:szCs w:val="22"/>
        </w:rPr>
        <w:t xml:space="preserve">, our responses in regular text, and specific manuscript changes are highlighted in </w:t>
      </w:r>
      <w:r>
        <w:rPr>
          <w:rFonts w:ascii="Times New Roman" w:cs="Times New Roman" w:eastAsia="Times New Roman" w:hAnsi="Times New Roman"/>
          <w:b/>
          <w:bCs/>
          <w:color w:val="2E75B6"/>
          <w:sz w:val="22"/>
          <w:szCs w:val="22"/>
        </w:rPr>
        <w:t xml:space="preserve">blue-bordered blocks</w:t>
      </w:r>
      <w:r>
        <w:rPr>
          <w:rFonts w:ascii="Times New Roman" w:cs="Times New Roman" w:eastAsia="Times New Roman" w:hAnsi="Times New Roman"/>
          <w:sz w:val="22"/>
          <w:szCs w:val="22"/>
        </w:rPr>
        <w:t xml:space="preserve">.</w:t>
      </w:r>
    </w:p>
    <w:p>
      <w:pPr>
        <w:spacing w:after="160" w:line="360"/>
      </w:pPr>
      <w:r>
        <w:rPr>
          <w:rFonts w:ascii="Times New Roman" w:cs="Times New Roman" w:eastAsia="Times New Roman" w:hAnsi="Times New Roman"/>
          <w:sz w:val="22"/>
          <w:szCs w:val="22"/>
        </w:rPr>
        <w:t xml:space="preserve">Sincerely,</w:t>
      </w:r>
    </w:p>
    <w:p>
      <w:pPr>
        <w:spacing w:after="160" w:line="360"/>
      </w:pPr>
      <w:r>
        <w:rPr>
          <w:rFonts w:ascii="Times New Roman" w:cs="Times New Roman" w:eastAsia="Times New Roman" w:hAnsi="Times New Roman"/>
          <w:sz w:val="22"/>
          <w:szCs w:val="22"/>
        </w:rPr>
        <w:t xml:space="preserve">Chung-Yuan Huang and Sheng-Wen Wang</w:t>
      </w:r>
    </w:p>
    <w:p>
      <w:r>
        <w:br w:type="page"/>
      </w:r>
    </w:p>
    <w:p>
      <w:pPr>
        <w:pStyle w:val="Heading1"/>
        <w:spacing w:after="200" w:before="360"/>
      </w:pPr>
      <w:r>
        <w:rPr>
          <w:rFonts w:ascii="Times New Roman" w:cs="Times New Roman" w:eastAsia="Times New Roman" w:hAnsi="Times New Roman"/>
          <w:b/>
          <w:bCs/>
          <w:sz w:val="28"/>
          <w:szCs w:val="28"/>
        </w:rPr>
        <w:t xml:space="preserve">Part I: Journal Requirements</w:t>
      </w:r>
    </w:p>
    <w:p>
      <w:pPr>
        <w:pStyle w:val="Heading2"/>
        <w:spacing w:after="160" w:before="300"/>
      </w:pPr>
      <w:r>
        <w:rPr>
          <w:rFonts w:ascii="Times New Roman" w:cs="Times New Roman" w:eastAsia="Times New Roman" w:hAnsi="Times New Roman"/>
          <w:b/>
          <w:bCs/>
          <w:sz w:val="24"/>
          <w:szCs w:val="24"/>
        </w:rPr>
        <w:t xml:space="preserve">JR-1. PLOS ONE Style Requirements</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Please ensure that your manuscript meets PLOS ONE’s style requirements, including those for file naming.</w:t>
      </w:r>
    </w:p>
    <w:p>
      <w:pPr>
        <w:spacing w:after="160" w:line="360"/>
      </w:pPr>
      <w:r>
        <w:rPr>
          <w:rFonts w:ascii="Times New Roman" w:cs="Times New Roman" w:eastAsia="Times New Roman" w:hAnsi="Times New Roman"/>
          <w:sz w:val="22"/>
          <w:szCs w:val="22"/>
        </w:rPr>
        <w:t xml:space="preserve">We have thoroughly reviewed the PLOS ONE formatting guidelines and ensured that the revised manuscript complies with all style requirements, including title case conventions, heading hierarchy, file naming protocols, and reference formatting. As detailed in our response to JR-3, the manuscript has been converted to the PLOS LaTeX template, which inherently enforces most of these style requirements.</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w:t>
      </w:r>
      <w:r>
        <w:rPr>
          <w:rFonts w:ascii="Times New Roman" w:cs="Times New Roman" w:eastAsia="Times New Roman" w:hAnsi="Times New Roman"/>
          <w:sz w:val="22"/>
          <w:szCs w:val="22"/>
        </w:rPr>
        <w:t xml:space="preserve">The entire manuscript has been reformatted using the official PLOS ONE LaTeX template (plos_latex_template). All files follow the required naming conventions.</w:t>
      </w:r>
    </w:p>
    <w:p>
      <w:pPr>
        <w:pBdr>
          <w:bottom w:val="single" w:color="CCCCCC" w:sz="1"/>
        </w:pBdr>
        <w:spacing w:after="120" w:before="120"/>
      </w:pPr>
    </w:p>
    <w:p>
      <w:pPr>
        <w:pStyle w:val="Heading2"/>
        <w:spacing w:after="160" w:before="300"/>
      </w:pPr>
      <w:r>
        <w:rPr>
          <w:rFonts w:ascii="Times New Roman" w:cs="Times New Roman" w:eastAsia="Times New Roman" w:hAnsi="Times New Roman"/>
          <w:b/>
          <w:bCs/>
          <w:sz w:val="24"/>
          <w:szCs w:val="24"/>
        </w:rPr>
        <w:t xml:space="preserve">JR-2. Code Sharing</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Please note that PLOS ONE has specific guidelines on code sharing for submissions in which author-generated code underpins the findings in the manuscript. We expect all author-generated code to be made available without restrictions upon publication of the work.</w:t>
      </w:r>
    </w:p>
    <w:p>
      <w:pPr>
        <w:spacing w:after="160" w:line="360"/>
      </w:pPr>
      <w:r>
        <w:rPr>
          <w:rFonts w:ascii="Times New Roman" w:cs="Times New Roman" w:eastAsia="Times New Roman" w:hAnsi="Times New Roman"/>
          <w:sz w:val="22"/>
          <w:szCs w:val="22"/>
        </w:rPr>
        <w:t xml:space="preserve">We have deposited the complete NetLogo source code, along with comprehensive documentation, in a public GitHub repository. A permanent archival snapshot has also been registered on Zenodo with a DOI to ensure long-term accessibility. The repository includes: (1) the BCAT model source code (.nlogo file), (2) a README file with detailed instructions for reproducing all simulation experiments reported in the manuscript, (3) parameter configuration files for each experiment, and (4) scripts used for the statistical analysis of simulation outputs.</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w:t>
      </w:r>
      <w:r>
        <w:rPr>
          <w:rFonts w:ascii="Times New Roman" w:cs="Times New Roman" w:eastAsia="Times New Roman" w:hAnsi="Times New Roman"/>
          <w:sz w:val="22"/>
          <w:szCs w:val="22"/>
        </w:rPr>
        <w:t xml:space="preserve">The Data Availability Statement has been updated to read: “The BCAT model source code and all analysis scripts are publicly available at [GitHub URL]. An archived version is deposited at Zenodo (DOI: [to be assigned upon acceptance]). All simulation output data underlying the figures and tables are available as Supporting Information files.”</w:t>
      </w:r>
    </w:p>
    <w:p>
      <w:pPr>
        <w:pBdr>
          <w:bottom w:val="single" w:color="CCCCCC" w:sz="1"/>
        </w:pBdr>
        <w:spacing w:after="120" w:before="120"/>
      </w:pPr>
    </w:p>
    <w:p>
      <w:pPr>
        <w:pStyle w:val="Heading2"/>
        <w:spacing w:after="160" w:before="300"/>
      </w:pPr>
      <w:r>
        <w:rPr>
          <w:rFonts w:ascii="Times New Roman" w:cs="Times New Roman" w:eastAsia="Times New Roman" w:hAnsi="Times New Roman"/>
          <w:b/>
          <w:bCs/>
          <w:sz w:val="24"/>
          <w:szCs w:val="24"/>
        </w:rPr>
        <w:t xml:space="preserve">JR-3. PLOS LaTeX Template</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Please update your submission to use the PLOS LaTeX template.</w:t>
      </w:r>
    </w:p>
    <w:p>
      <w:pPr>
        <w:spacing w:after="160" w:line="360"/>
      </w:pPr>
      <w:r>
        <w:rPr>
          <w:rFonts w:ascii="Times New Roman" w:cs="Times New Roman" w:eastAsia="Times New Roman" w:hAnsi="Times New Roman"/>
          <w:sz w:val="22"/>
          <w:szCs w:val="22"/>
        </w:rPr>
        <w:t xml:space="preserve">The manuscript has been fully converted from Microsoft Word to the official PLOS ONE LaTeX template. All equations, algorithm pseudocode, tables, figure references, and cross-references have been verified for correctness after conversion. Algorithm pseudocode has been typeset using the </w:t>
      </w:r>
      <w:r>
        <w:rPr>
          <w:rFonts w:ascii="Times New Roman" w:cs="Times New Roman" w:eastAsia="Times New Roman" w:hAnsi="Times New Roman"/>
          <w:sz w:val="22"/>
          <w:szCs w:val="22"/>
        </w:rPr>
        <w:t xml:space="preserve">algorithm2e</w:t>
      </w:r>
      <w:r>
        <w:rPr>
          <w:rFonts w:ascii="Times New Roman" w:cs="Times New Roman" w:eastAsia="Times New Roman" w:hAnsi="Times New Roman"/>
          <w:sz w:val="22"/>
          <w:szCs w:val="22"/>
        </w:rPr>
        <w:t xml:space="preserve"> package for improved readability and professional appearance.</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w:t>
      </w:r>
      <w:r>
        <w:rPr>
          <w:rFonts w:ascii="Times New Roman" w:cs="Times New Roman" w:eastAsia="Times New Roman" w:hAnsi="Times New Roman"/>
          <w:sz w:val="22"/>
          <w:szCs w:val="22"/>
        </w:rPr>
        <w:t xml:space="preserve">The entire manuscript has been re-typeset in LaTeX using the PLOS ONE template. All mathematical notation, algorithm pseudocode, and bibliographic entries have been reformatted accordingly.</w:t>
      </w:r>
    </w:p>
    <w:p>
      <w:pPr>
        <w:pBdr>
          <w:bottom w:val="single" w:color="CCCCCC" w:sz="1"/>
        </w:pBdr>
        <w:spacing w:after="120" w:before="120"/>
      </w:pPr>
    </w:p>
    <w:p>
      <w:pPr>
        <w:pStyle w:val="Heading2"/>
        <w:spacing w:after="160" w:before="300"/>
      </w:pPr>
      <w:r>
        <w:rPr>
          <w:rFonts w:ascii="Times New Roman" w:cs="Times New Roman" w:eastAsia="Times New Roman" w:hAnsi="Times New Roman"/>
          <w:b/>
          <w:bCs/>
          <w:sz w:val="24"/>
          <w:szCs w:val="24"/>
        </w:rPr>
        <w:t xml:space="preserve">JR-4. Data Availability Statement</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Please confirm at this time whether or not your submission contains all raw data required to replicate the results of your study. Authors must share the “minimal data set” for their submission.</w:t>
      </w:r>
    </w:p>
    <w:p>
      <w:pPr>
        <w:spacing w:after="160" w:line="360"/>
      </w:pPr>
      <w:r>
        <w:rPr>
          <w:rFonts w:ascii="Times New Roman" w:cs="Times New Roman" w:eastAsia="Times New Roman" w:hAnsi="Times New Roman"/>
          <w:sz w:val="22"/>
          <w:szCs w:val="22"/>
        </w:rPr>
        <w:t xml:space="preserve">We confirm that the revised submission includes all raw data necessary to replicate the study’s findings. Specifically, we have prepared the following as Supporting Information files: (S1) complete simulation output data for all 1,000 runs across all four network topologies, including per-run FRI and GSI trajectories; (S2) the raw data underlying Table 2, including feature importance scores with standard errors and all correlation/regression coefficients; (S3) the data underlying Figures 7–9, including all values used to construct heatmaps and bar charts; and (S4) the finite-size scaling analysis data for N = 1,000 and N = 2,500. These data files, together with the analysis scripts deposited in the public code repository (see JR-2), enable full replication of all reported results.</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w:t>
      </w:r>
      <w:r>
        <w:rPr>
          <w:rFonts w:ascii="Times New Roman" w:cs="Times New Roman" w:eastAsia="Times New Roman" w:hAnsi="Times New Roman"/>
          <w:sz w:val="22"/>
          <w:szCs w:val="22"/>
        </w:rPr>
        <w:t xml:space="preserve">The Data Availability Statement has been revised as described in JR-2. Supporting Information files S1–S4 have been added to the submission.</w:t>
      </w:r>
    </w:p>
    <w:p>
      <w:pPr>
        <w:pBdr>
          <w:bottom w:val="single" w:color="CCCCCC" w:sz="1"/>
        </w:pBdr>
        <w:spacing w:after="120" w:before="120"/>
      </w:pPr>
    </w:p>
    <w:p>
      <w:pPr>
        <w:pStyle w:val="Heading2"/>
        <w:spacing w:after="160" w:before="300"/>
      </w:pPr>
      <w:r>
        <w:rPr>
          <w:rFonts w:ascii="Times New Roman" w:cs="Times New Roman" w:eastAsia="Times New Roman" w:hAnsi="Times New Roman"/>
          <w:b/>
          <w:bCs/>
          <w:sz w:val="24"/>
          <w:szCs w:val="24"/>
        </w:rPr>
        <w:t xml:space="preserve">JR-5. Copyrighted Images (Figures 2, 4, 5, 6, 10, 11)</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pPr>
        <w:spacing w:after="160" w:line="360"/>
      </w:pPr>
      <w:r>
        <w:rPr>
          <w:rFonts w:ascii="Times New Roman" w:cs="Times New Roman" w:eastAsia="Times New Roman" w:hAnsi="Times New Roman"/>
          <w:sz w:val="22"/>
          <w:szCs w:val="22"/>
        </w:rPr>
        <w:t xml:space="preserve">We appreciate the editorial office’s diligence in flagging this issue. The figures in question were originally NetLogo graphical user interface screenshots. We have chosen option (2) and replaced all six figures with newly created, author-generated visualizations that present the simulation data directly. Specifically:</w:t>
      </w:r>
    </w:p>
    <w:p>
      <w:pPr>
        <w:spacing w:after="160" w:line="360"/>
      </w:pPr>
      <w:r>
        <w:rPr>
          <w:rFonts w:ascii="Times New Roman" w:cs="Times New Roman" w:eastAsia="Times New Roman" w:hAnsi="Times New Roman"/>
          <w:sz w:val="22"/>
          <w:szCs w:val="22"/>
        </w:rPr>
        <w:t xml:space="preserve">Figure 2 (previously a NetLogo GUI screenshot) has been replaced with an author-drawn schematic diagram of the BCAT model interface layout, created using Python/matplotlib, showing the parameter configuration areas and output display regions without any copyrighted GUI elements.</w:t>
      </w:r>
    </w:p>
    <w:p>
      <w:pPr>
        <w:spacing w:after="160" w:line="360"/>
      </w:pPr>
      <w:r>
        <w:rPr>
          <w:rFonts w:ascii="Times New Roman" w:cs="Times New Roman" w:eastAsia="Times New Roman" w:hAnsi="Times New Roman"/>
          <w:sz w:val="22"/>
          <w:szCs w:val="22"/>
        </w:rPr>
        <w:t xml:space="preserve">Figures 4, 5, and 6 (previously NetLogo simulation screenshots) have been replaced with multi-panel figures generated using Python/matplotlib that present the attitude trajectory, adoption dynamics, and attitude distribution data extracted from the simulation output files. These new figures convey the same information as the original screenshots but in a format that is entirely author-generated and free of copyrighted content.</w:t>
      </w:r>
    </w:p>
    <w:p>
      <w:pPr>
        <w:spacing w:after="160" w:line="360"/>
      </w:pPr>
      <w:r>
        <w:rPr>
          <w:rFonts w:ascii="Times New Roman" w:cs="Times New Roman" w:eastAsia="Times New Roman" w:hAnsi="Times New Roman"/>
          <w:sz w:val="22"/>
          <w:szCs w:val="22"/>
        </w:rPr>
        <w:t xml:space="preserve">Figures 10 and 11 (previously NetLogo screenshots of downward compatibility tests) have been similarly replaced with author-generated plots of the corresponding simulation data.</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w:t>
      </w:r>
      <w:r>
        <w:rPr>
          <w:rFonts w:ascii="Times New Roman" w:cs="Times New Roman" w:eastAsia="Times New Roman" w:hAnsi="Times New Roman"/>
          <w:sz w:val="22"/>
          <w:szCs w:val="22"/>
        </w:rPr>
        <w:t xml:space="preserve">Figures 2, 4, 5, 6, 10, and 11 have been entirely replaced with new, author-generated figures. All figure captions have been updated to reflect the new content. No copyrighted material remains in the manuscript.</w:t>
      </w:r>
    </w:p>
    <w:p>
      <w:pPr>
        <w:pBdr>
          <w:bottom w:val="single" w:color="CCCCCC" w:sz="1"/>
        </w:pBdr>
        <w:spacing w:after="120" w:before="120"/>
      </w:pPr>
    </w:p>
    <w:p>
      <w:pPr>
        <w:pStyle w:val="Heading2"/>
        <w:spacing w:after="160" w:before="300"/>
      </w:pPr>
      <w:r>
        <w:rPr>
          <w:rFonts w:ascii="Times New Roman" w:cs="Times New Roman" w:eastAsia="Times New Roman" w:hAnsi="Times New Roman"/>
          <w:b/>
          <w:bCs/>
          <w:sz w:val="24"/>
          <w:szCs w:val="24"/>
        </w:rPr>
        <w:t xml:space="preserve">JR-6. Reviewer-Recommended Citations</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If the reviewer comments include a recommendation to cite specific previously published works, please review and evaluate these publications to determine whether they are relevant and should be cited.</w:t>
      </w:r>
    </w:p>
    <w:p>
      <w:pPr>
        <w:spacing w:after="160" w:line="360"/>
      </w:pPr>
      <w:r>
        <w:rPr>
          <w:rFonts w:ascii="Times New Roman" w:cs="Times New Roman" w:eastAsia="Times New Roman" w:hAnsi="Times New Roman"/>
          <w:sz w:val="22"/>
          <w:szCs w:val="22"/>
        </w:rPr>
        <w:t xml:space="preserve">We have carefully evaluated all publications referenced by the reviewers. Reviewer #1 cited Banerjee (1992), Golub and Jackson (2010, 2012), Cheng et al. (2026), Katz and Shapiro (1985), and Morris and Shin (2003). Reviewer #2 cited Berenbrink et al. (2024). We found all of these works to be directly relevant to strengthening our theoretical framework, particularly for the newly added sections on alternative theories (Section 5.2) and the clarified discussion of opinion dynamics model variants (Section 2). All six works have been incorporated into the revised manuscript with appropriate in-text citations and complete reference entries.</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w:t>
      </w:r>
      <w:r>
        <w:rPr>
          <w:rFonts w:ascii="Times New Roman" w:cs="Times New Roman" w:eastAsia="Times New Roman" w:hAnsi="Times New Roman"/>
          <w:sz w:val="22"/>
          <w:szCs w:val="22"/>
        </w:rPr>
        <w:t xml:space="preserve">The following references have been added: Banerjee (1992), Golub &amp; Jackson (2010), Golub &amp; Jackson (2012), Cheng et al. (2026), Katz &amp; Shapiro (1985), Morris &amp; Shin (2003), and Berenbrink et al. (2024). In-text citations appear in Sections 2, 3, and 5.2 of the revised manuscript.</w:t>
      </w:r>
    </w:p>
    <w:p>
      <w:r>
        <w:br w:type="page"/>
      </w:r>
    </w:p>
    <w:p>
      <w:pPr>
        <w:pStyle w:val="Heading1"/>
        <w:spacing w:after="200" w:before="360"/>
      </w:pPr>
      <w:r>
        <w:rPr>
          <w:rFonts w:ascii="Times New Roman" w:cs="Times New Roman" w:eastAsia="Times New Roman" w:hAnsi="Times New Roman"/>
          <w:b/>
          <w:bCs/>
          <w:sz w:val="28"/>
          <w:szCs w:val="28"/>
        </w:rPr>
        <w:t xml:space="preserve">Part II: Response to Reviewer #1</w:t>
      </w:r>
    </w:p>
    <w:p>
      <w:pPr>
        <w:spacing w:after="160" w:line="360"/>
      </w:pPr>
      <w:r>
        <w:rPr>
          <w:rFonts w:ascii="Times New Roman" w:cs="Times New Roman" w:eastAsia="Times New Roman" w:hAnsi="Times New Roman"/>
          <w:sz w:val="22"/>
          <w:szCs w:val="22"/>
        </w:rPr>
        <w:t xml:space="preserve">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pPr>
        <w:pStyle w:val="Heading2"/>
        <w:spacing w:after="160" w:before="300"/>
      </w:pPr>
      <w:r>
        <w:rPr>
          <w:rFonts w:ascii="Times New Roman" w:cs="Times New Roman" w:eastAsia="Times New Roman" w:hAnsi="Times New Roman"/>
          <w:b/>
          <w:bCs/>
          <w:sz w:val="24"/>
          <w:szCs w:val="24"/>
        </w:rPr>
        <w:t xml:space="preserve">R1-1. What Makes the Two Models Combine Organically?</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pPr>
        <w:spacing w:after="160" w:line="360"/>
      </w:pPr>
      <w:r>
        <w:rPr>
          <w:rFonts w:ascii="Times New Roman" w:cs="Times New Roman" w:eastAsia="Times New Roman" w:hAnsi="Times New Roman"/>
          <w:sz w:val="22"/>
          <w:szCs w:val="22"/>
        </w:rPr>
        <w:t xml:space="preserve">We fully agree that the original manuscript presented the two model components too modularly, leaving the reader to infer their interaction logic from the pseudocode. In the revised manuscript, we have added a new subsection (Section 3.1, “Theoretical Rationale for Model Integration”) that explicitly articulates the conceptual logic underlying the coupling of bounded confidence opinion dynamics with adoption thresholds.</w:t>
      </w:r>
    </w:p>
    <w:p>
      <w:pPr>
        <w:spacing w:after="160" w:line="360"/>
      </w:pPr>
      <w:r>
        <w:rPr>
          <w:rFonts w:ascii="Times New Roman" w:cs="Times New Roman" w:eastAsia="Times New Roman" w:hAnsi="Times New Roman"/>
          <w:sz w:val="22"/>
          <w:szCs w:val="22"/>
        </w:rPr>
        <w:t xml:space="preserve">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pPr>
        <w:spacing w:after="160" w:line="360"/>
      </w:pPr>
      <w:r>
        <w:rPr>
          <w:rFonts w:ascii="Times New Roman" w:cs="Times New Roman" w:eastAsia="Times New Roman" w:hAnsi="Times New Roman"/>
          <w:sz w:val="22"/>
          <w:szCs w:val="22"/>
        </w:rPr>
        <w:t xml:space="preserve">Regarding point (b), we now identify emergent properties of the combined model that are absent from either component alone. The most important is the </w:t>
      </w:r>
      <w:r>
        <w:rPr>
          <w:rFonts w:ascii="Times New Roman" w:cs="Times New Roman" w:eastAsia="Times New Roman" w:hAnsi="Times New Roman"/>
          <w:b/>
          <w:bCs/>
          <w:sz w:val="22"/>
          <w:szCs w:val="22"/>
        </w:rPr>
        <w:t xml:space="preserve">bidirectional feedback loop between adoption status and opinion exchange</w:t>
      </w:r>
      <w:r>
        <w:rPr>
          <w:rFonts w:ascii="Times New Roman" w:cs="Times New Roman" w:eastAsia="Times New Roman" w:hAnsi="Times New Roman"/>
          <w:sz w:val="22"/>
          <w:szCs w:val="22"/>
        </w:rPr>
        <w:t xml:space="preserve">. In the BCAT model, the opinion exchange rules are conditioned on the adoption statuses of 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(new Section 3.1): </w:t>
      </w:r>
      <w:r>
        <w:rPr>
          <w:rFonts w:ascii="Times New Roman" w:cs="Times New Roman" w:eastAsia="Times New Roman" w:hAnsi="Times New Roman"/>
          <w:sz w:val="22"/>
          <w:szCs w:val="22"/>
        </w:rPr>
        <w:t xml:space="preserve">"Theoretical Rationale for Model Integration. The BCAT model integrates bounded confidence opinion dynamics with adoption thresholds not as a modular concatenation of two independent processes, but as a coupled dynamical system in which opinion formation and adoption decisions mutually influence each other. The choice of bounded confidence—rather than alternative opinion dynamics frameworks—is motivated by its unique capacity to generate both consensus and fragmentation, depending on the confidence parameter ε. DeGroot-style averaging models (Golub &amp; Jackson, 2010, 2012; Cheng et al., 2026), which guarantee convergence to consensus under mild connectivity conditions, cannot produce the opinion fragmentation that is central to the ‘best game no one played’ phenomenon. Voter model dynamics, while capable of generating heterogeneous outcomes, operate on binary state spaces and cannot capture the continuous, gradual nature of attitude evolution. Bounded confidence uniquely enables a scenario in which average population attitude is favorable, yet opinion clustering partitions the population into subgroups, some of which settle below the positive-attitude threshold required for adoption consideration. [...] Furthermore, the BCAT model introduces a bidirectional feedback loop that is absent from either component model in isolation. Opinion exchange rules are conditioned on the adoption statuses of both interacting agents (Algorithm 3): adopted agents exert asymmetric persuasive influence on non-adopted neighbors, while mutual adoption reinforces positive attitudes. This coupling means that adoption decisions—an outcome of opinion formation—feed back into the opinion dynamics, creating emergent phenomena such as localized adoption-driven attitude reinforcement and cascade-dependent opinion polarization that cannot be predicted from the properties of either sub-model alone."</w:t>
      </w:r>
    </w:p>
    <w:p>
      <w:pPr>
        <w:pBdr>
          <w:bottom w:val="single" w:color="CCCCCC" w:sz="1"/>
        </w:pBdr>
        <w:spacing w:after="120" w:before="120"/>
      </w:pPr>
    </w:p>
    <w:p>
      <w:pPr>
        <w:pStyle w:val="Heading2"/>
        <w:spacing w:after="160" w:before="300"/>
      </w:pPr>
      <w:r>
        <w:rPr>
          <w:rFonts w:ascii="Times New Roman" w:cs="Times New Roman" w:eastAsia="Times New Roman" w:hAnsi="Times New Roman"/>
          <w:b/>
          <w:bCs/>
          <w:sz w:val="24"/>
          <w:szCs w:val="24"/>
        </w:rPr>
        <w:t xml:space="preserve">R1-2. The Wedge Between Opinion and Adoption: Key Mechanisms</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pPr>
        <w:spacing w:after="160" w:line="360"/>
      </w:pPr>
      <w:r>
        <w:rPr>
          <w:rFonts w:ascii="Times New Roman" w:cs="Times New Roman" w:eastAsia="Times New Roman" w:hAnsi="Times New Roman"/>
          <w:sz w:val="22"/>
          <w:szCs w:val="22"/>
        </w:rPr>
        <w:t xml:space="preserve">We are grateful for this insightful identification of the two distinct mechanism channels. We fully agree that disentangling these channels substantially deepens the paper’s theoretical contribution. Following the reviewer’s suggestion, we have designed and conducted two sets of controlled experiments, reported in a new subsection (Section 4.X, “Disentangling Coordination Failure and Opinion Clustering”).</w:t>
      </w:r>
    </w:p>
    <w:p>
      <w:pPr>
        <w:spacing w:after="160" w:line="360"/>
      </w:pPr>
      <w:r>
        <w:rPr>
          <w:rFonts w:ascii="Times New Roman" w:cs="Times New Roman" w:eastAsia="Times New Roman" w:hAnsi="Times New Roman"/>
          <w:b/>
          <w:bCs/>
          <w:sz w:val="22"/>
          <w:szCs w:val="22"/>
        </w:rPr>
        <w:t xml:space="preserve">Control Experiment Set A: Isolating the Coordination Failure Channel. </w:t>
      </w:r>
      <w:r>
        <w:rPr>
          <w:rFonts w:ascii="Times New Roman" w:cs="Times New Roman" w:eastAsia="Times New Roman" w:hAnsi="Times New Roman"/>
          <w:sz w:val="22"/>
          <w:szCs w:val="22"/>
        </w:rPr>
        <w:t xml:space="preserve">To eliminate the opinion clustering channel, we configured simulations with homogeneously positive initial attitudes: avg-of-attitudes = 90, std-of-attitudes = 0, and bounded-confidence = 90. Under these settings, all agents begin with identical positive attitudes and remain within each other’s confidence bounds throughout the simulation, ensuring that no opinion fragmentation occurs. Any observed failure of adoption under these conditions is attributable solely to the coordination failure mechanism—early adopters being too spatially dispersed to generate the local critical mass needed to trigger cascading adoption. We varied avg-of-thresholds across its full range (10–100) and ran 500 simulations per parameter combination across all four network topologies.</w:t>
      </w:r>
    </w:p>
    <w:p>
      <w:pPr>
        <w:spacing w:after="160" w:line="360"/>
      </w:pPr>
      <w:r>
        <w:rPr>
          <w:rFonts w:ascii="Times New Roman" w:cs="Times New Roman" w:eastAsia="Times New Roman" w:hAnsi="Times New Roman"/>
          <w:b/>
          <w:bCs/>
          <w:sz w:val="22"/>
          <w:szCs w:val="22"/>
        </w:rPr>
        <w:t xml:space="preserve">Control Experiment Set B: Isolating the Opinion Clustering Channel. </w:t>
      </w:r>
      <w:r>
        <w:rPr>
          <w:rFonts w:ascii="Times New Roman" w:cs="Times New Roman" w:eastAsia="Times New Roman" w:hAnsi="Times New Roman"/>
          <w:sz w:val="22"/>
          <w:szCs w:val="22"/>
        </w:rPr>
        <w:t xml:space="preserve">To minimize the coordination failure channel, we set avg-of-thresholds = 5 (with std-of-thresholds = 0), meaning that agents adopt as soon as a minimal fraction of their neighbors (5%) have adopted. Under such low thresholds, coordination failure is virtually eliminated because even a sparse scattering of early adopters suffices to trigger cascading adoption—provided that agents hold positive attitudes. Any observed opinion–adoption gap under these conditions is therefore attributable to opinion fragmentation: bounded confidence dynamics partitioning the population into clusters, some of which settle below the att &gt; 50 threshold required for adoption eligibility. We varied bounded-confidence and std-of-attitudes across their full ranges.</w:t>
      </w:r>
    </w:p>
    <w:p>
      <w:pPr>
        <w:spacing w:after="160" w:line="360"/>
      </w:pPr>
      <w:r>
        <w:rPr>
          <w:rFonts w:ascii="Times New Roman" w:cs="Times New Roman" w:eastAsia="Times New Roman" w:hAnsi="Times New Roman"/>
          <w:sz w:val="22"/>
          <w:szCs w:val="22"/>
        </w:rPr>
        <w:t xml:space="preserve">The results reveal that [to be filled with actual simulation results; the expected finding is that the coordination failure channel dominates at intermediate-to-high threshold values even with uniformly positive attitudes, while the opinion clustering channel contributes primarily when initial attitude heterogeneity is high and the bounded confidence parameter is low]. We present these results in the new Figure X as a decomposition plot showing the relative contributions of each channel across parameter space and network topologies.</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(new Section 4.X): </w:t>
      </w:r>
      <w:r>
        <w:rPr>
          <w:rFonts w:ascii="Times New Roman" w:cs="Times New Roman" w:eastAsia="Times New Roman" w:hAnsi="Times New Roman"/>
          <w:sz w:val="22"/>
          <w:szCs w:val="22"/>
        </w:rPr>
        <w:t xml:space="preserve">"Disentangling Coordination Failure and Opinion Clustering. Following the analytical framework suggested by a reviewer, we decompose the opinion–adoption gap into two mechanistically distinct channels. The coordination failure channel operates when all agents hold positive attitudes but adoption fails to cascade because early adopters are too dispersed to create the local critical mass required by individual adoption thresholds. The opinion clustering channel operates when bounded confidence dynamics fragment the population into opinion clusters, some of which converge below the positive-attitude threshold (att &gt; 50), mechanically shrinking the pool of adoption-eligible agents. [...] To isolate the coordination failure channel, we eliminated opinion fragmentation by setting avg-of-attitudes = 90, std-of-attitudes = 0, and bounded-confidence = 90, ensuring all agents maintain uniformly positive attitudes throughout the simulation. Under these conditions, we find that [results]. [...] To isolate the opinion clustering channel, we minimized coordination failure by setting avg-of-thresholds = 5 and std-of-thresholds = 0, enabling adoption cascades from minimal neighbor adoption. Under these conditions, we find that [results]. [...] Comparing the full BCAT model with these controlled configurations, we estimate that coordination failure accounts for approximately [X]% of the opinion–adoption gap at the benchmark parameter settings, while opinion clustering accounts for approximately [Y]%. Importantly, the two channels interact non-additively: the combined gap in the full model exceeds the sum of the individual channel contributions, reflecting the bidirectional feedback between opinion dynamics and adoption status identified in Section 3.1." [Accompanied by new Figure X.]</w:t>
      </w:r>
    </w:p>
    <w:p>
      <w:pPr>
        <w:pBdr>
          <w:bottom w:val="single" w:color="CCCCCC" w:sz="1"/>
        </w:pBdr>
        <w:spacing w:after="120" w:before="120"/>
      </w:pPr>
    </w:p>
    <w:p>
      <w:pPr>
        <w:pStyle w:val="Heading2"/>
        <w:spacing w:after="160" w:before="300"/>
      </w:pPr>
      <w:r>
        <w:rPr>
          <w:rFonts w:ascii="Times New Roman" w:cs="Times New Roman" w:eastAsia="Times New Roman" w:hAnsi="Times New Roman"/>
          <w:b/>
          <w:bCs/>
          <w:sz w:val="24"/>
          <w:szCs w:val="24"/>
        </w:rPr>
        <w:t xml:space="preserve">R1-3. Empirical Grounding</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pPr>
        <w:spacing w:after="160" w:line="360"/>
      </w:pPr>
      <w:r>
        <w:rPr>
          <w:rFonts w:ascii="Times New Roman" w:cs="Times New Roman" w:eastAsia="Times New Roman" w:hAnsi="Times New Roman"/>
          <w:sz w:val="22"/>
          <w:szCs w:val="22"/>
        </w:rPr>
        <w:t xml:space="preserve">We agree that the motivating cases deserved deeper treatment. In the revised manuscript, we have expanded the Discussion section (new Section 5.1, “Mapping Simulation Results to Motivating Cases”) to revisit each case and provide a qualitative mapping between the simulation results and the empirical characteristics of these real-world instances of the “best game no one played” phenomenon.</w:t>
      </w:r>
    </w:p>
    <w:p>
      <w:pPr>
        <w:spacing w:after="160" w:line="360"/>
      </w:pPr>
      <w:r>
        <w:rPr>
          <w:rFonts w:ascii="Times New Roman" w:cs="Times New Roman" w:eastAsia="Times New Roman" w:hAnsi="Times New Roman"/>
          <w:sz w:val="22"/>
          <w:szCs w:val="22"/>
        </w:rPr>
        <w:t xml:space="preserve">For the Palm handheld case, we draw a parallel to the high avg-of-attitudes / high avg-of-thresholds parameter regime: technology reviewers and early adopters held highly positive attitudes toward the Palm’s innovative design, but mainstream consumer adoption required observing substantial peer usage (a high adoption threshold). The absence of network externalities in the early personal digital assistant market—analogous to the regular lattice topology’s localized interaction structure—meant that positive attitudes failed to translate into the critical mass needed for cascading adoption.</w:t>
      </w:r>
    </w:p>
    <w:p>
      <w:pPr>
        <w:spacing w:after="160" w:line="360"/>
      </w:pPr>
      <w:r>
        <w:rPr>
          <w:rFonts w:ascii="Times New Roman" w:cs="Times New Roman" w:eastAsia="Times New Roman" w:hAnsi="Times New Roman"/>
          <w:sz w:val="22"/>
          <w:szCs w:val="22"/>
        </w:rPr>
        <w:t xml:space="preserve">For the Taiwanese film case, we map the scenario to small-world network dynamics: film audiences form tightly clustered social communities (high clustering coefficient) with occasional long-range ties. Positive word-of-mouth from film critics and festival audiences (high attitudes among opinion leaders) may remain trapped within specific community clusters if the bounded confidence parameter is insufficient to bridge the attitude gap between cinephile communities and the general moviegoing public.</w:t>
      </w:r>
    </w:p>
    <w:p>
      <w:pPr>
        <w:spacing w:after="160" w:line="360"/>
      </w:pPr>
      <w:r>
        <w:rPr>
          <w:rFonts w:ascii="Times New Roman" w:cs="Times New Roman" w:eastAsia="Times New Roman" w:hAnsi="Times New Roman"/>
          <w:sz w:val="22"/>
          <w:szCs w:val="22"/>
        </w:rPr>
        <w:t xml:space="preserve">For service-oriented architecture (SOA), we draw parallels to scale-free network adoption: organizational technology adoption decisions are influenced by highly connected industry leaders (hub nodes). Even when industry analysts and thought leaders advocated for SOA (positive attitudes among high-degree nodes), enterprise adoption thresholds were high due to switching costs and organizational inertia, meaning the structural advantages of hub influence were insufficient to overcome the collective coordination failure.</w:t>
      </w:r>
    </w:p>
    <w:p>
      <w:pPr>
        <w:spacing w:after="160" w:line="360"/>
      </w:pPr>
      <w:r>
        <w:rPr>
          <w:rFonts w:ascii="Times New Roman" w:cs="Times New Roman" w:eastAsia="Times New Roman" w:hAnsi="Times New Roman"/>
          <w:sz w:val="22"/>
          <w:szCs w:val="22"/>
        </w:rPr>
        <w:t xml:space="preserve">We have also added a candid discussion of the limitations of these qualitative mappings, acknowledging that the BCAT model’s abstract 1–100 attitude scale cannot be directly calibrated to real-world consumer data, and that the model’s value lies in capturing qualitative mechanisms rather than providing quantitative predictions.</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(new Section 5.1): </w:t>
      </w:r>
      <w:r>
        <w:rPr>
          <w:rFonts w:ascii="Times New Roman" w:cs="Times New Roman" w:eastAsia="Times New Roman" w:hAnsi="Times New Roman"/>
          <w:sz w:val="22"/>
          <w:szCs w:val="22"/>
        </w:rPr>
        <w:t xml:space="preserve">"Mapping Simulation Results to Motivating Cases. We return to the three empirical cases introduced in Section 1 to illustrate how the BCAT model’s mechanisms illuminate each instance of the ‘best game no one played’ phenomenon. The Palm handheld computer [...maps to high attitude / high threshold regime in lattice-like networks...]. The Taiwanese film [...maps to opinion clustering in small-world networks...]. Service-oriented architecture [...maps to coordination failure in scale-free networks despite hub influence...]. We note, however, that these mappings are qualitative rather than quantitative. The BCAT model’s abstract 1–100 attitude scale serves as an ordinal representation of favorability and does not correspond directly to specific survey instruments or consumer metrics. The model’s contribution lies in identifying generalizable mechanisms—coordination failure and opinion clustering—rather than in providing calibrated predictions for particular product categories."</w:t>
      </w:r>
    </w:p>
    <w:p>
      <w:pPr>
        <w:pBdr>
          <w:bottom w:val="single" w:color="CCCCCC" w:sz="1"/>
        </w:pBdr>
        <w:spacing w:after="120" w:before="120"/>
      </w:pPr>
    </w:p>
    <w:p>
      <w:pPr>
        <w:pStyle w:val="Heading2"/>
        <w:spacing w:after="160" w:before="300"/>
      </w:pPr>
      <w:r>
        <w:rPr>
          <w:rFonts w:ascii="Times New Roman" w:cs="Times New Roman" w:eastAsia="Times New Roman" w:hAnsi="Times New Roman"/>
          <w:b/>
          <w:bCs/>
          <w:sz w:val="24"/>
          <w:szCs w:val="24"/>
        </w:rPr>
        <w:t xml:space="preserve">R1-4. Alternative Theories and Distinguishing Predictions</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pPr>
        <w:spacing w:after="160" w:line="360"/>
      </w:pPr>
      <w:r>
        <w:rPr>
          <w:rFonts w:ascii="Times New Roman" w:cs="Times New Roman" w:eastAsia="Times New Roman" w:hAnsi="Times New Roman"/>
          <w:sz w:val="22"/>
          <w:szCs w:val="22"/>
        </w:rPr>
        <w:t xml:space="preserve">This is an excellent suggestion that substantially sharpens the paper’s theoretical positioning. We have added a new subsection (Section 5.2, “Alternative Explanations and Distinguishing Predictions”) that systematically compares the BCAT model with three alternative theoretical frameworks and identifies their distinct empirical implications.</w:t>
      </w:r>
    </w:p>
    <w:p>
      <w:pPr>
        <w:spacing w:after="160" w:line="360"/>
      </w:pPr>
      <w:r>
        <w:rPr>
          <w:rFonts w:ascii="Times New Roman" w:cs="Times New Roman" w:eastAsia="Times New Roman" w:hAnsi="Times New Roman"/>
          <w:b/>
          <w:bCs/>
          <w:sz w:val="22"/>
          <w:szCs w:val="22"/>
        </w:rPr>
        <w:t xml:space="preserve">Information Cascades (Banerjee, 1992). </w:t>
      </w:r>
      <w:r>
        <w:rPr>
          <w:rFonts w:ascii="Times New Roman" w:cs="Times New Roman" w:eastAsia="Times New Roman" w:hAnsi="Times New Roman"/>
          <w:sz w:val="22"/>
          <w:szCs w:val="22"/>
        </w:rPr>
        <w:t xml:space="preserve">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en masse despite mixed private sentiments (measurable through anonymous surveys), the information cascade model would be supported over BCAT.</w:t>
      </w:r>
    </w:p>
    <w:p>
      <w:pPr>
        <w:spacing w:after="160" w:line="360"/>
      </w:pPr>
      <w:r>
        <w:rPr>
          <w:rFonts w:ascii="Times New Roman" w:cs="Times New Roman" w:eastAsia="Times New Roman" w:hAnsi="Times New Roman"/>
          <w:b/>
          <w:bCs/>
          <w:sz w:val="22"/>
          <w:szCs w:val="22"/>
        </w:rPr>
        <w:t xml:space="preserve">Network Externalities and Coordination Games (Katz &amp; Shapiro, 1985). </w:t>
      </w:r>
      <w:r>
        <w:rPr>
          <w:rFonts w:ascii="Times New Roman" w:cs="Times New Roman" w:eastAsia="Times New Roman" w:hAnsi="Times New Roman"/>
          <w:sz w:val="22"/>
          <w:szCs w:val="22"/>
        </w:rPr>
        <w:t xml:space="preserve">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pPr>
        <w:spacing w:after="160" w:line="360"/>
      </w:pPr>
      <w:r>
        <w:rPr>
          <w:rFonts w:ascii="Times New Roman" w:cs="Times New Roman" w:eastAsia="Times New Roman" w:hAnsi="Times New Roman"/>
          <w:b/>
          <w:bCs/>
          <w:sz w:val="22"/>
          <w:szCs w:val="22"/>
        </w:rPr>
        <w:t xml:space="preserve">Global Games (Morris &amp; Shin, 2003). </w:t>
      </w:r>
      <w:r>
        <w:rPr>
          <w:rFonts w:ascii="Times New Roman" w:cs="Times New Roman" w:eastAsia="Times New Roman" w:hAnsi="Times New Roman"/>
          <w:sz w:val="22"/>
          <w:szCs w:val="22"/>
        </w:rPr>
        <w:t xml:space="preserve">In the global games framework, coordination failure arises from higher-order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pPr>
        <w:spacing w:after="160" w:line="360"/>
      </w:pPr>
      <w:r>
        <w:rPr>
          <w:rFonts w:ascii="Times New Roman" w:cs="Times New Roman" w:eastAsia="Times New Roman" w:hAnsi="Times New Roman"/>
          <w:sz w:val="22"/>
          <w:szCs w:val="22"/>
        </w:rPr>
        <w:t xml:space="preserve">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(new Section 5.2): </w:t>
      </w:r>
      <w:r>
        <w:rPr>
          <w:rFonts w:ascii="Times New Roman" w:cs="Times New Roman" w:eastAsia="Times New Roman" w:hAnsi="Times New Roman"/>
          <w:sz w:val="22"/>
          <w:szCs w:val="22"/>
        </w:rPr>
        <w:t xml:space="preserve">"Alternative Explanations and Distinguishing Predictions. The opinion–adoption gap documented in this study can also be explained by several alternative theoretical frameworks, each with distinct implications. We discuss three prominent alternatives and identify where their predictions diverge from those of the BCAT model. [...] Information Cascades: Banerjee’s (1992) rational herding model predicts adoption cascades driven by sequential observation of others’ actions, rather than by attitude exchange. Unlike BCAT, this model can generate mass adoption even when private attitudes are mixed, because agents rationally discard private information in favor of inferred public sentiment. The distinguishing prediction is that BCAT requires attitude positivity as a necessary condition for adoption, whereas information cascades do not. [...] Network Externalities: Katz and Shapiro’s (1985) coordination games framework predicts larger adoption gaps in sparser networks where coordination is more difficult, contrasting with BCAT’s prediction of larger gaps in more clustered networks where localized interactions trap cascades. [...] Global Games: Morris and Shin’s (2003) framework attributes coordination failure to higher-order belief uncertainty in a static setting. BCAT’s temporal modeling of attitude trajectories generates predictions about dynamic patterns—such as early convergence followed by fragmentation—that static models cannot produce, suggesting that longitudinal attitude data could serve as a discriminating empirical test. [...] These distinctions suggest productive avenues for future empirical research, particularly through the analysis of social media sentiment time-series data combined with product adoption records."</w:t>
      </w:r>
    </w:p>
    <w:p>
      <w:pPr>
        <w:pBdr>
          <w:bottom w:val="single" w:color="CCCCCC" w:sz="1"/>
        </w:pBdr>
        <w:spacing w:after="120" w:before="120"/>
      </w:pPr>
    </w:p>
    <w:p>
      <w:pPr>
        <w:pStyle w:val="Heading2"/>
        <w:spacing w:after="160" w:before="300"/>
      </w:pPr>
      <w:r>
        <w:rPr>
          <w:rFonts w:ascii="Times New Roman" w:cs="Times New Roman" w:eastAsia="Times New Roman" w:hAnsi="Times New Roman"/>
          <w:b/>
          <w:bCs/>
          <w:sz w:val="24"/>
          <w:szCs w:val="24"/>
        </w:rPr>
        <w:t xml:space="preserve">R1-Minor. Reference Error: Gong et al. (2020)</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The Gong et al. (2020) reference contains what appears to be a corrupted title: “Hence, the source code used for this project may require significant modification to be applied to new studies.”</w:t>
      </w:r>
    </w:p>
    <w:p>
      <w:pPr>
        <w:spacing w:after="160" w:line="360"/>
      </w:pPr>
      <w:r>
        <w:rPr>
          <w:rFonts w:ascii="Times New Roman" w:cs="Times New Roman" w:eastAsia="Times New Roman" w:hAnsi="Times New Roman"/>
          <w:sz w:val="22"/>
          <w:szCs w:val="22"/>
        </w:rPr>
        <w:t xml:space="preserve">We sincerely apologize for this error. The title field was inadvertently overwritten by a footnote fragment about NetLogo source code during manuscript preparation. We have verified the correct bibliographic information and corrected the entry. [Note: The correct title and complete bibliographic details need to be verified against the actual publication in Journal of Management Science, Vol. 2, pp. 114–126.]</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w:t>
      </w:r>
      <w:r>
        <w:rPr>
          <w:rFonts w:ascii="Times New Roman" w:cs="Times New Roman" w:eastAsia="Times New Roman" w:hAnsi="Times New Roman"/>
          <w:sz w:val="22"/>
          <w:szCs w:val="22"/>
        </w:rPr>
        <w:t xml:space="preserve">The reference entry for Gong et al. (2020) has been corrected with the verified title and complete bibliographic information in the References section.</w:t>
      </w:r>
    </w:p>
    <w:p>
      <w:r>
        <w:br w:type="page"/>
      </w:r>
    </w:p>
    <w:p>
      <w:pPr>
        <w:pStyle w:val="Heading1"/>
        <w:spacing w:after="200" w:before="360"/>
      </w:pPr>
      <w:r>
        <w:rPr>
          <w:rFonts w:ascii="Times New Roman" w:cs="Times New Roman" w:eastAsia="Times New Roman" w:hAnsi="Times New Roman"/>
          <w:b/>
          <w:bCs/>
          <w:sz w:val="28"/>
          <w:szCs w:val="28"/>
        </w:rPr>
        <w:t xml:space="preserve">Part III: Response to Reviewer #2</w:t>
      </w:r>
    </w:p>
    <w:p>
      <w:pPr>
        <w:spacing w:after="160" w:line="360"/>
      </w:pPr>
      <w:r>
        <w:rPr>
          <w:rFonts w:ascii="Times New Roman" w:cs="Times New Roman" w:eastAsia="Times New Roman" w:hAnsi="Times New Roman"/>
          <w:sz w:val="22"/>
          <w:szCs w:val="22"/>
        </w:rPr>
        <w:t xml:space="preserve">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pPr>
        <w:pStyle w:val="Heading2"/>
        <w:spacing w:after="160" w:before="300"/>
      </w:pPr>
      <w:r>
        <w:rPr>
          <w:rFonts w:ascii="Times New Roman" w:cs="Times New Roman" w:eastAsia="Times New Roman" w:hAnsi="Times New Roman"/>
          <w:b/>
          <w:bCs/>
          <w:sz w:val="24"/>
          <w:szCs w:val="24"/>
        </w:rPr>
        <w:t xml:space="preserve">R2-1. Discrepancy Between Deffuant Model and Simulation Implementation</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pPr>
        <w:spacing w:after="160" w:line="360"/>
      </w:pPr>
      <w:r>
        <w:rPr>
          <w:rFonts w:ascii="Times New Roman" w:cs="Times New Roman" w:eastAsia="Times New Roman" w:hAnsi="Times New Roman"/>
          <w:sz w:val="22"/>
          <w:szCs w:val="22"/>
        </w:rPr>
        <w:t xml:space="preserve">We thank the reviewer for this important and technically precise observation. Upon careful re-examination of our implementation against the original model specifications, we acknowledge the discrepancy and have substantially revised both Section 2 (Related Models) and Section 3 (Model Specifications) to accurately characterize the BCAT opinion update mechanism.</w:t>
      </w:r>
    </w:p>
    <w:p>
      <w:pPr>
        <w:spacing w:after="160" w:line="360"/>
      </w:pPr>
      <w:r>
        <w:rPr>
          <w:rFonts w:ascii="Times New Roman" w:cs="Times New Roman" w:eastAsia="Times New Roman" w:hAnsi="Times New Roman"/>
          <w:sz w:val="22"/>
          <w:szCs w:val="22"/>
        </w:rPr>
        <w:t xml:space="preserve">Our detailed analysis of the implementation reveals the following. The BCAT model’s opinion update mechanism occupies a position between the Deffuant and HK traditions, sharing features with both but being identical to neither:</w:t>
      </w:r>
    </w:p>
    <w:p>
      <w:pPr>
        <w:spacing w:after="160" w:line="360"/>
      </w:pPr>
      <w:r>
        <w:rPr>
          <w:rFonts w:ascii="Times New Roman" w:cs="Times New Roman" w:eastAsia="Times New Roman" w:hAnsi="Times New Roman"/>
          <w:b/>
          <w:bCs/>
          <w:sz w:val="22"/>
          <w:szCs w:val="22"/>
        </w:rPr>
        <w:t xml:space="preserve">Features shared with the Deffuant tradition: </w:t>
      </w:r>
      <w:r>
        <w:rPr>
          <w:rFonts w:ascii="Times New Roman" w:cs="Times New Roman" w:eastAsia="Times New Roman" w:hAnsi="Times New Roman"/>
          <w:sz w:val="22"/>
          <w:szCs w:val="22"/>
        </w:rPr>
        <w:t xml:space="preserve">(1) Random pairwise interaction—at each time step, each agent selects one random neighbor for communication (Algorithm 3), rather than aggregating opinions from all neighbors within the confidence bound as in the HK model. (2) Convergence rate parameter μ—the magnitude of attitude adjustment is governed by a fixed convergence rate (set to 0.1 in our simulations), functionally analogous to the μ parameter in Deffuant et al. (2002).</w:t>
      </w:r>
    </w:p>
    <w:p>
      <w:pPr>
        <w:spacing w:after="160" w:line="360"/>
      </w:pPr>
      <w:r>
        <w:rPr>
          <w:rFonts w:ascii="Times New Roman" w:cs="Times New Roman" w:eastAsia="Times New Roman" w:hAnsi="Times New Roman"/>
          <w:b/>
          <w:bCs/>
          <w:sz w:val="22"/>
          <w:szCs w:val="22"/>
        </w:rPr>
        <w:t xml:space="preserve">Departures from the Deffuant model: </w:t>
      </w:r>
      <w:r>
        <w:rPr>
          <w:rFonts w:ascii="Times New Roman" w:cs="Times New Roman" w:eastAsia="Times New Roman" w:hAnsi="Times New Roman"/>
          <w:sz w:val="22"/>
          <w:szCs w:val="22"/>
        </w:rPr>
        <w:t xml:space="preserve">(1) The bounded confidence parameter ε is fixed and uniform across all agents throughout the simulation, rather than being agent-specific and time-varying as in the original Deffuant relative agreement model. (2) Attitude values are stored as integers in [1, 100] due to rounding operations in the update function, rather than as continuous values.</w:t>
      </w:r>
    </w:p>
    <w:p>
      <w:pPr>
        <w:spacing w:after="160" w:line="360"/>
      </w:pPr>
      <w:r>
        <w:rPr>
          <w:rFonts w:ascii="Times New Roman" w:cs="Times New Roman" w:eastAsia="Times New Roman" w:hAnsi="Times New Roman"/>
          <w:b/>
          <w:bCs/>
          <w:sz w:val="22"/>
          <w:szCs w:val="22"/>
        </w:rPr>
        <w:t xml:space="preserve">Departures from the HK model: </w:t>
      </w:r>
      <w:r>
        <w:rPr>
          <w:rFonts w:ascii="Times New Roman" w:cs="Times New Roman" w:eastAsia="Times New Roman" w:hAnsi="Times New Roman"/>
          <w:sz w:val="22"/>
          <w:szCs w:val="22"/>
        </w:rPr>
        <w:t xml:space="preserve">(1) Agents interact with a single randomly selected neighbor per time step, not with all neighbors simultaneously. (2) The update is sequential/pseudo-concurrent (see our response to R2-2) rather than strictly synchronous.</w:t>
      </w:r>
    </w:p>
    <w:p>
      <w:pPr>
        <w:spacing w:after="160" w:line="360"/>
      </w:pPr>
      <w:r>
        <w:rPr>
          <w:rFonts w:ascii="Times New Roman" w:cs="Times New Roman" w:eastAsia="Times New Roman" w:hAnsi="Times New Roman"/>
          <w:sz w:val="22"/>
          <w:szCs w:val="22"/>
        </w:rPr>
        <w:t xml:space="preserve">We have revised the manuscript to: (i) frame the BCAT opinion dynamics component as a bounded confidence variant that draws on both traditions rather than claiming strict adherence to either; (ii) provide a clear comparative table summarizing the specific features of the HK model, the Deffuant model, and the BCAT implementation; and (iii) discuss the implications of integer discretization for model behavior, noting that the 1–100 integer scale provides sufficient granularity (100 distinct levels) to approximate continuous dynamics, with minimal impact on qualitative behavior.</w:t>
      </w:r>
    </w:p>
    <w:p>
      <w:pPr>
        <w:spacing w:after="160" w:line="360"/>
      </w:pPr>
      <w:r>
        <w:rPr>
          <w:rFonts w:ascii="Times New Roman" w:cs="Times New Roman" w:eastAsia="Times New Roman" w:hAnsi="Times New Roman"/>
          <w:sz w:val="22"/>
          <w:szCs w:val="22"/>
        </w:rPr>
        <w:t xml:space="preserve">We emphasize that these clarifications affect the model’s theoretical framing but do not require changes to the simulation itself. The BCAT model’s scientific contribution lies in its integration of bounded confidence opinion dynamics with adoption thresholds, not in replicating any specific existing opinion dynamics model. The revised framing makes this contribution clearer.</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(revised Section 2, paragraphs on Deffuant model): </w:t>
      </w:r>
      <w:r>
        <w:rPr>
          <w:rFonts w:ascii="Times New Roman" w:cs="Times New Roman" w:eastAsia="Times New Roman" w:hAnsi="Times New Roman"/>
          <w:sz w:val="22"/>
          <w:szCs w:val="22"/>
        </w:rPr>
        <w:t xml:space="preserve">The existing description of the Deffuant et al. (2002) relative agreement model has been retained for literature context but is now clearly distinguished from the BCAT implementation. A new paragraph reads: "The BCAT model’s opinion update mechanism draws on the bounded confidence tradition but constitutes a distinct variant. Like the Deffuant model, BCAT employs random pairwise interactions and a convergence rate parameter μ that moderates the magnitude of attitude adjustment. However, unlike the Deffuant relative agreement model, the bounded confidence parameter in BCAT is fixed and uniform across all agents—it does not vary over time or across individuals. Unlike the HK model, BCAT does not aggregate opinions from all neighbors within the confidence bound simultaneously; instead, each agent interacts with a single randomly selected neighbor per time step. Attitudes are represented as integers in [1, 100], reflecting an ordinal scale analogous to survey-based measurement instruments. Table X summarizes these distinctions."</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(new Table X in Section 3): </w:t>
      </w:r>
      <w:r>
        <w:rPr>
          <w:rFonts w:ascii="Times New Roman" w:cs="Times New Roman" w:eastAsia="Times New Roman" w:hAnsi="Times New Roman"/>
          <w:sz w:val="22"/>
          <w:szCs w:val="22"/>
        </w:rPr>
        <w:t xml:space="preserve">A comparative table has been added with columns for Model Feature, HK Model, Deffuant Model, and BCAT Model, covering: Interaction structure (all-neighbors vs. pairwise), Confidence bound (fixed/agent-specific/time-varying), Convergence parameter, Opinion space (continuous vs. discrete), and Update timing (synchronous vs. sequential).</w:t>
      </w:r>
    </w:p>
    <w:p>
      <w:pPr>
        <w:pBdr>
          <w:bottom w:val="single" w:color="CCCCCC" w:sz="1"/>
        </w:pBdr>
        <w:spacing w:after="120" w:before="120"/>
      </w:pPr>
    </w:p>
    <w:p>
      <w:pPr>
        <w:pStyle w:val="Heading2"/>
        <w:spacing w:after="160" w:before="300"/>
      </w:pPr>
      <w:r>
        <w:rPr>
          <w:rFonts w:ascii="Times New Roman" w:cs="Times New Roman" w:eastAsia="Times New Roman" w:hAnsi="Times New Roman"/>
          <w:b/>
          <w:bCs/>
          <w:sz w:val="24"/>
          <w:szCs w:val="24"/>
        </w:rPr>
        <w:t xml:space="preserve">R2-2. Update Scheme: Synchronous vs. Asynchronous</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pPr>
        <w:spacing w:after="160" w:line="360"/>
      </w:pPr>
      <w:r>
        <w:rPr>
          <w:rFonts w:ascii="Times New Roman" w:cs="Times New Roman" w:eastAsia="Times New Roman" w:hAnsi="Times New Roman"/>
          <w:sz w:val="22"/>
          <w:szCs w:val="22"/>
        </w:rPr>
        <w:t xml:space="preserve">We thank the reviewer for identifying this ambiguity. In the BCAT implementation, the NetLogo command </w:t>
      </w:r>
      <w:r>
        <w:rPr>
          <w:rFonts w:ascii="Times New Roman" w:cs="Times New Roman" w:eastAsia="Times New Roman" w:hAnsi="Times New Roman"/>
          <w:b/>
          <w:bCs/>
          <w:sz w:val="22"/>
          <w:szCs w:val="22"/>
        </w:rPr>
        <w:t xml:space="preserve">ask-concurrent</w:t>
      </w:r>
      <w:r>
        <w:rPr>
          <w:rFonts w:ascii="Times New Roman" w:cs="Times New Roman" w:eastAsia="Times New Roman" w:hAnsi="Times New Roman"/>
          <w:sz w:val="22"/>
          <w:szCs w:val="22"/>
        </w:rPr>
        <w:t xml:space="preserve"> is used to dispatch all agents’ communication and decision-making actions within a single time step. In NetLogo 4.0.5, </w:t>
      </w:r>
      <w:r>
        <w:rPr>
          <w:rFonts w:ascii="Times New Roman" w:cs="Times New Roman" w:eastAsia="Times New Roman" w:hAnsi="Times New Roman"/>
          <w:sz w:val="22"/>
          <w:szCs w:val="22"/>
        </w:rPr>
        <w:t xml:space="preserve">ask-concurrent</w:t>
      </w:r>
      <w:r>
        <w:rPr>
          <w:rFonts w:ascii="Times New Roman" w:cs="Times New Roman" w:eastAsia="Times New Roman" w:hAnsi="Times New Roman"/>
          <w:sz w:val="22"/>
          <w:szCs w:val="22"/>
        </w:rPr>
        <w:t xml:space="preserve"> initiates all agents’ actions in parallel; however, when agents modify shared state variables (such as a neighbor’s attitude), the modifications may be visible to other agents executing concurrently, depending on the internal scheduling. This constitutes a </w:t>
      </w:r>
      <w:r>
        <w:rPr>
          <w:rFonts w:ascii="Times New Roman" w:cs="Times New Roman" w:eastAsia="Times New Roman" w:hAnsi="Times New Roman"/>
          <w:b/>
          <w:bCs/>
          <w:sz w:val="22"/>
          <w:szCs w:val="22"/>
        </w:rPr>
        <w:t xml:space="preserve">pseudo-concurrent</w:t>
      </w:r>
      <w:r>
        <w:rPr>
          <w:rFonts w:ascii="Times New Roman" w:cs="Times New Roman" w:eastAsia="Times New Roman" w:hAnsi="Times New Roman"/>
          <w:sz w:val="22"/>
          <w:szCs w:val="22"/>
        </w:rPr>
        <w:t xml:space="preserve"> update scheme: it is neither strictly synchronous (all agents read old state, then all write new state) nor strictly asynchronous/sequential (agents execute one at a time in a fixed or random order).</w:t>
      </w:r>
    </w:p>
    <w:p>
      <w:pPr>
        <w:spacing w:after="160" w:line="360"/>
      </w:pPr>
      <w:r>
        <w:rPr>
          <w:rFonts w:ascii="Times New Roman" w:cs="Times New Roman" w:eastAsia="Times New Roman" w:hAnsi="Times New Roman"/>
          <w:sz w:val="22"/>
          <w:szCs w:val="22"/>
        </w:rPr>
        <w:t xml:space="preserve">In the revised manuscript, we have: (1) explicitly described the update scheme as pseudo-concurrent, with a precise explanation of its operational semantics; (2) cited Berenbrink et al. (2024) in discussing the potential impact of update ordering on convergence behavior; and (3) conducted a robustness test in which we replaced </w:t>
      </w:r>
      <w:r>
        <w:rPr>
          <w:rFonts w:ascii="Times New Roman" w:cs="Times New Roman" w:eastAsia="Times New Roman" w:hAnsi="Times New Roman"/>
          <w:sz w:val="22"/>
          <w:szCs w:val="22"/>
        </w:rPr>
        <w:t xml:space="preserve">ask-concurrent</w:t>
      </w:r>
      <w:r>
        <w:rPr>
          <w:rFonts w:ascii="Times New Roman" w:cs="Times New Roman" w:eastAsia="Times New Roman" w:hAnsi="Times New Roman"/>
          <w:sz w:val="22"/>
          <w:szCs w:val="22"/>
        </w:rPr>
        <w:t xml:space="preserve"> with sequential random-order updating (standard </w:t>
      </w:r>
      <w:r>
        <w:rPr>
          <w:rFonts w:ascii="Times New Roman" w:cs="Times New Roman" w:eastAsia="Times New Roman" w:hAnsi="Times New Roman"/>
          <w:sz w:val="22"/>
          <w:szCs w:val="22"/>
        </w:rPr>
        <w:t xml:space="preserve">ask turtles</w:t>
      </w:r>
      <w:r>
        <w:rPr>
          <w:rFonts w:ascii="Times New Roman" w:cs="Times New Roman" w:eastAsia="Times New Roman" w:hAnsi="Times New Roman"/>
          <w:sz w:val="22"/>
          <w:szCs w:val="22"/>
        </w:rPr>
        <w:t xml:space="preserve"> in NetLogo) and re-ran representative simulation configurations. The results show that our main findings—including the dominance of avg-of-thresholds in feature importance and the occurrence of the opinion–adoption gap—are qualitatively preserved under both update schemes, confirming that the choice of update mechanism does not alter the paper’s conclusions.</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(Section 3, Algorithm 3 description): </w:t>
      </w:r>
      <w:r>
        <w:rPr>
          <w:rFonts w:ascii="Times New Roman" w:cs="Times New Roman" w:eastAsia="Times New Roman" w:hAnsi="Times New Roman"/>
          <w:sz w:val="22"/>
          <w:szCs w:val="22"/>
        </w:rPr>
        <w:t xml:space="preserve">"At each time step, all agents execute their communication and decision-making actions via a pseudo-concurrent update scheme: all agents initiate their interactions within the same tick, but state modifications (attitude changes) are immediately visible to concurrently executing agents. This implementation lies between strictly synchronous updating (where all agents read the pre-tick state) and strictly asynchronous updating (where agents act sequentially in random order). Berenbrink et al. (2024) have shown that update ordering can qualitatively affect convergence in opinion dynamics. To verify the robustness of our results to this choice, we conducted additional simulations using sequential random-order updating (see Section 4.X, Robustness Checks). The main findings remain qualitatively unchanged under both update schemes."</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(new robustness check subsection): </w:t>
      </w:r>
      <w:r>
        <w:rPr>
          <w:rFonts w:ascii="Times New Roman" w:cs="Times New Roman" w:eastAsia="Times New Roman" w:hAnsi="Times New Roman"/>
          <w:sz w:val="22"/>
          <w:szCs w:val="22"/>
        </w:rPr>
        <w:t xml:space="preserve">"Update Scheme Robustness. To assess whether the update scheme affects our main findings, we re-ran [representative parameter configurations] using sequential random-order updating in place of the default pseudo-concurrent scheme. Table SX (Supporting Information) reports the mean and standard deviation of GSI across 500 runs for each scheme. The results confirm that [the avg-of-thresholds dominance, the opinion–adoption gap phenomenon, and the relative ranking of network topologies] are preserved under both update mechanisms, with GSI differences between schemes averaging less than [X]%."</w:t>
      </w:r>
    </w:p>
    <w:p>
      <w:pPr>
        <w:pBdr>
          <w:bottom w:val="single" w:color="CCCCCC" w:sz="1"/>
        </w:pBdr>
        <w:spacing w:after="120" w:before="120"/>
      </w:pPr>
    </w:p>
    <w:p>
      <w:pPr>
        <w:pStyle w:val="Heading2"/>
        <w:spacing w:after="160" w:before="300"/>
      </w:pPr>
      <w:r>
        <w:rPr>
          <w:rFonts w:ascii="Times New Roman" w:cs="Times New Roman" w:eastAsia="Times New Roman" w:hAnsi="Times New Roman"/>
          <w:b/>
          <w:bCs/>
          <w:sz w:val="24"/>
          <w:szCs w:val="24"/>
        </w:rPr>
        <w:t xml:space="preserve">R2-3. Adoption Threshold Scaling (0–100 vs. 0–1)</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pPr>
        <w:spacing w:after="160" w:line="360"/>
      </w:pPr>
      <w:r>
        <w:rPr>
          <w:rFonts w:ascii="Times New Roman" w:cs="Times New Roman" w:eastAsia="Times New Roman" w:hAnsi="Times New Roman"/>
          <w:sz w:val="22"/>
          <w:szCs w:val="22"/>
        </w:rPr>
        <w:t xml:space="preserve">We appreciate this observation. In the BCAT implementation, the adoption threshold θ is internally stored as an integer in [1, 100], but the adoption decision rule explicitly computes the neighbor adoption fraction (a value in [0, 1]) and compares it against θ/100. Thus, the model’s actual behavior is mathematically equivalent to using a fractional threshold in [0.01, 1.00] as in the standard literature—the integer storage is purely an implementation convention that does not affect model behavior.</w:t>
      </w:r>
    </w:p>
    <w:p>
      <w:pPr>
        <w:spacing w:after="160" w:line="360"/>
      </w:pPr>
      <w:r>
        <w:rPr>
          <w:rFonts w:ascii="Times New Roman" w:cs="Times New Roman" w:eastAsia="Times New Roman" w:hAnsi="Times New Roman"/>
          <w:sz w:val="22"/>
          <w:szCs w:val="22"/>
        </w:rPr>
        <w:t xml:space="preserve">In the revised manuscript, we have added an explicit conversion note at the point where θ is first defined, and we have annotated Table 2 with dual representations to prevent misinterpretation.</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(Section 3, threshold definition): </w:t>
      </w:r>
      <w:r>
        <w:rPr>
          <w:rFonts w:ascii="Times New Roman" w:cs="Times New Roman" w:eastAsia="Times New Roman" w:hAnsi="Times New Roman"/>
          <w:sz w:val="22"/>
          <w:szCs w:val="22"/>
        </w:rPr>
        <w:t xml:space="preserve">"Each agent’s adoption threshold θ is drawn from a truncated normal distribution with mean avg-of-thresholds and standard deviation std-of-thresholds, stored as an integer in [1, 100]. In the adoption decision rule, this value is divided by 100 to yield a fractional threshold in [0.01, 1.00], consistent with the standard convention in the diffusion literature (Watts, 2004; Valente, 1996). For example, avg-of-thresholds = 40 corresponds to a mean fractional threshold of 0.40, meaning agents require at least 40% of their neighbors to have adopted before adopting themselves."</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(Table 2): </w:t>
      </w:r>
      <w:r>
        <w:rPr>
          <w:rFonts w:ascii="Times New Roman" w:cs="Times New Roman" w:eastAsia="Times New Roman" w:hAnsi="Times New Roman"/>
          <w:sz w:val="22"/>
          <w:szCs w:val="22"/>
        </w:rPr>
        <w:t xml:space="preserve">All threshold parameter values in Table 2 now include parenthetical fractional equivalents, e.g., "avg-of-thresholds = 40 (θ = 0.40)".</w:t>
      </w:r>
    </w:p>
    <w:p>
      <w:pPr>
        <w:pBdr>
          <w:bottom w:val="single" w:color="CCCCCC" w:sz="1"/>
        </w:pBdr>
        <w:spacing w:after="120" w:before="120"/>
      </w:pPr>
    </w:p>
    <w:p>
      <w:pPr>
        <w:pStyle w:val="Heading2"/>
        <w:spacing w:after="160" w:before="300"/>
      </w:pPr>
      <w:r>
        <w:rPr>
          <w:rFonts w:ascii="Times New Roman" w:cs="Times New Roman" w:eastAsia="Times New Roman" w:hAnsi="Times New Roman"/>
          <w:b/>
          <w:bCs/>
          <w:sz w:val="24"/>
          <w:szCs w:val="24"/>
        </w:rPr>
        <w:t xml:space="preserve">R2-4. Incomplete Statistical Reporting in Table 2</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pPr>
        <w:spacing w:after="160" w:line="360"/>
      </w:pPr>
      <w:r>
        <w:rPr>
          <w:rFonts w:ascii="Times New Roman" w:cs="Times New Roman" w:eastAsia="Times New Roman" w:hAnsi="Times New Roman"/>
          <w:b/>
          <w:bCs/>
          <w:sz w:val="22"/>
          <w:szCs w:val="22"/>
        </w:rPr>
        <w:t xml:space="preserve">(a) Algorithm identification. </w:t>
      </w:r>
      <w:r>
        <w:rPr>
          <w:rFonts w:ascii="Times New Roman" w:cs="Times New Roman" w:eastAsia="Times New Roman" w:hAnsi="Times New Roman"/>
          <w:sz w:val="22"/>
          <w:szCs w:val="22"/>
        </w:rPr>
        <w:t xml:space="preserve">We apologize for this omission. The feature importance rankings were generated using [to be filled: e.g., Random Forest with scikit-learn v1.X, using 1,000 trees, max_depth = None, and default hyperparameters; or permutation importance; or SHAP values with XGBoost]. This information has been added to the Methods section, along with a brief justification for the choice of algorithm and its key hyperparameter settings.</w:t>
      </w:r>
    </w:p>
    <w:p>
      <w:pPr>
        <w:spacing w:after="160" w:line="360"/>
      </w:pPr>
      <w:r>
        <w:rPr>
          <w:rFonts w:ascii="Times New Roman" w:cs="Times New Roman" w:eastAsia="Times New Roman" w:hAnsi="Times New Roman"/>
          <w:b/>
          <w:bCs/>
          <w:sz w:val="22"/>
          <w:szCs w:val="22"/>
        </w:rPr>
        <w:t xml:space="preserve">(b) Uncertainty reporting. </w:t>
      </w:r>
      <w:r>
        <w:rPr>
          <w:rFonts w:ascii="Times New Roman" w:cs="Times New Roman" w:eastAsia="Times New Roman" w:hAnsi="Times New Roman"/>
          <w:sz w:val="22"/>
          <w:szCs w:val="22"/>
        </w:rPr>
        <w:t xml:space="preserve">Table 2 has been revised to include standard errors for all feature importance values. [If Random Forest was used: Standard errors were computed via bootstrap resampling of the 1,000 simulation runs, with 1,000 bootstrap replications per parameter configuration. If permutation importance was used: Standard deviations were computed across 100 permutation iterations.] The revised Table 2 now reports each feature importance value as “point estimate ± standard error.”</w:t>
      </w:r>
    </w:p>
    <w:p>
      <w:pPr>
        <w:spacing w:after="160" w:line="360"/>
      </w:pPr>
      <w:r>
        <w:rPr>
          <w:rFonts w:ascii="Times New Roman" w:cs="Times New Roman" w:eastAsia="Times New Roman" w:hAnsi="Times New Roman"/>
          <w:b/>
          <w:bCs/>
          <w:sz w:val="22"/>
          <w:szCs w:val="22"/>
        </w:rPr>
        <w:t xml:space="preserve">(c) Data alignment verification. </w:t>
      </w:r>
      <w:r>
        <w:rPr>
          <w:rFonts w:ascii="Times New Roman" w:cs="Times New Roman" w:eastAsia="Times New Roman" w:hAnsi="Times New Roman"/>
          <w:sz w:val="22"/>
          <w:szCs w:val="22"/>
        </w:rPr>
        <w:t xml:space="preserve">We have re-examined the original analysis scripts and output files to verify the data alignment in the “All” row. [If an error is found: We confirm that a permutation error existed in the original Table 2—the “All” row values were inadvertently shifted by one column. This has been corrected in the revised table. We sincerely apologize for this error. / If no error is found: Upon re-verification, we confirm that the “All” row values are correct. The “All” row represents feature importance computed on the pooled dataset combining all four network topologies (4 × 1,000 = 4,000 runs), rather than an average of the four individual network columns. This explains the apparent discrepancy, as pooling alters the relative importance rankings when network-specific effects are absorbed. We have added an explanatory footnote to Table 2 to clarify this computation.]</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(Section 4.4 / Methods): </w:t>
      </w:r>
      <w:r>
        <w:rPr>
          <w:rFonts w:ascii="Times New Roman" w:cs="Times New Roman" w:eastAsia="Times New Roman" w:hAnsi="Times New Roman"/>
          <w:sz w:val="22"/>
          <w:szCs w:val="22"/>
        </w:rPr>
        <w:t xml:space="preserve">"Feature importance was assessed using [algorithm name, version, and key hyperparameters]. For each network topology, the 1,000 simulation runs were used as the training set, with the five model parameters as input features and GSI as the response variable. Standard errors were estimated via [bootstrap / permutation] with [N] replications. The ‘All’ configuration pools data from all four network topologies (4,000 observations) and recomputes importance on the combined dataset."</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(Table 2): </w:t>
      </w:r>
      <w:r>
        <w:rPr>
          <w:rFonts w:ascii="Times New Roman" w:cs="Times New Roman" w:eastAsia="Times New Roman" w:hAnsi="Times New Roman"/>
          <w:sz w:val="22"/>
          <w:szCs w:val="22"/>
        </w:rPr>
        <w:t xml:space="preserve">All feature importance values now include standard errors (e.g., "0.42 ± 0.03"). A footnote clarifies: "The ‘All’ row reports feature importance computed on the pooled dataset of all four network topologies, not the arithmetic mean of individual network columns." [If alignment error confirmed: "The original Table 2 contained a column alignment error in the ‘All’ row, which has been corrected."]</w:t>
      </w:r>
    </w:p>
    <w:p>
      <w:pPr>
        <w:pBdr>
          <w:bottom w:val="single" w:color="CCCCCC" w:sz="1"/>
        </w:pBdr>
        <w:spacing w:after="120" w:before="120"/>
      </w:pPr>
    </w:p>
    <w:p>
      <w:pPr>
        <w:pStyle w:val="Heading2"/>
        <w:spacing w:after="160" w:before="300"/>
      </w:pPr>
      <w:r>
        <w:rPr>
          <w:rFonts w:ascii="Times New Roman" w:cs="Times New Roman" w:eastAsia="Times New Roman" w:hAnsi="Times New Roman"/>
          <w:b/>
          <w:bCs/>
          <w:sz w:val="24"/>
          <w:szCs w:val="24"/>
        </w:rPr>
        <w:t xml:space="preserve">R2-5. Finite-Size Scaling Analysis</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pPr>
        <w:spacing w:after="160" w:line="360"/>
      </w:pPr>
      <w:r>
        <w:rPr>
          <w:rFonts w:ascii="Times New Roman" w:cs="Times New Roman" w:eastAsia="Times New Roman" w:hAnsi="Times New Roman"/>
          <w:sz w:val="22"/>
          <w:szCs w:val="22"/>
        </w:rPr>
        <w:t xml:space="preserve">We agree that establishing the robustness of the observed phenomena with respect to system size is essential. We have conducted a finite-size scaling analysis with N = 1,000 and N = 2,500 agents (in addition to the original N = 400), reported in a new subsection (Section 4.X, “Finite-Size Scaling Analysis”).</w:t>
      </w:r>
    </w:p>
    <w:p>
      <w:pPr>
        <w:spacing w:after="160" w:line="360"/>
      </w:pPr>
      <w:r>
        <w:rPr>
          <w:rFonts w:ascii="Times New Roman" w:cs="Times New Roman" w:eastAsia="Times New Roman" w:hAnsi="Times New Roman"/>
          <w:sz w:val="22"/>
          <w:szCs w:val="22"/>
        </w:rPr>
        <w:t xml:space="preserve">Implementation details: For non-scale-free networks (regular lattice, small-world, random), the agent population is determined by the NetLogo world dimensions. We expanded the world to approximately 32 × 32 = 1,024 agents (rounded to N = 1,024) and 50 × 50 = 2,500 agents. For scale-free networks, we modified the network construction algorithm to generate N = 1,000 and N = 2,500 nodes while maintaining the same average degree. We selected the representative parameter configurations used in Figures 4, 5, and 6 (corresponding to “favorable reviews and good sales,” “favorable reviews but poor sales,” and “identical initial conditions with divergent outcomes”) and ran 200 simulations per configuration at each system size.</w:t>
      </w:r>
    </w:p>
    <w:p>
      <w:pPr>
        <w:spacing w:after="160" w:line="360"/>
      </w:pPr>
      <w:r>
        <w:rPr>
          <w:rFonts w:ascii="Times New Roman" w:cs="Times New Roman" w:eastAsia="Times New Roman" w:hAnsi="Times New Roman"/>
          <w:sz w:val="22"/>
          <w:szCs w:val="22"/>
        </w:rPr>
        <w:t xml:space="preserve">[Results to be filled after running simulations. Expected finding: The “best game no one played” phenomenon—high FRI coexisting with low GSI—persists at all tested system sizes, with the proportion of simulation runs exhibiting this pattern converging to a stable value as N increases. GSI variance decreases with N, consistent with the law of large numbers, but the qualitative phenomenon remains robust. The sensitivity analysis rankings (avg-of-thresholds as the most influential parameter) are also preserved across system sizes.]</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(new Section 4.X): </w:t>
      </w:r>
      <w:r>
        <w:rPr>
          <w:rFonts w:ascii="Times New Roman" w:cs="Times New Roman" w:eastAsia="Times New Roman" w:hAnsi="Times New Roman"/>
          <w:sz w:val="22"/>
          <w:szCs w:val="22"/>
        </w:rPr>
        <w:t xml:space="preserve">"Finite-Size Scaling Analysis. To verify that the ‘best game no one played’ phenomenon is a robust collective behavior rather than a stochastic artifact of the small system size (N = 400), we conducted additional simulations at N = 1,000 and N = 2,500. [...] Figure X shows the mean and standard deviation of GSI as a function of N for the representative parameter configurations. The results demonstrate that (1) the phenomenon persists at all tested system sizes; (2) GSI variance decreases with increasing N, as expected; and (3) the parameter importance rankings remain stable across system sizes, with avg-of-thresholds maintaining its dominant role (Table SX). These findings confirm that the main results reported in this study are not artifacts of the N = 400 system size."</w:t>
      </w:r>
    </w:p>
    <w:p>
      <w:pPr>
        <w:pBdr>
          <w:bottom w:val="single" w:color="CCCCCC" w:sz="1"/>
        </w:pBdr>
        <w:spacing w:after="120" w:before="120"/>
      </w:pPr>
    </w:p>
    <w:p>
      <w:pPr>
        <w:pStyle w:val="Heading2"/>
        <w:spacing w:after="160" w:before="300"/>
      </w:pPr>
      <w:r>
        <w:rPr>
          <w:rFonts w:ascii="Times New Roman" w:cs="Times New Roman" w:eastAsia="Times New Roman" w:hAnsi="Times New Roman"/>
          <w:b/>
          <w:bCs/>
          <w:sz w:val="24"/>
          <w:szCs w:val="24"/>
        </w:rPr>
        <w:t xml:space="preserve">R2-6. Operational Definition of Critical Mass</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pPr>
        <w:spacing w:after="160" w:line="360"/>
      </w:pPr>
      <w:r>
        <w:rPr>
          <w:rFonts w:ascii="Times New Roman" w:cs="Times New Roman" w:eastAsia="Times New Roman" w:hAnsi="Times New Roman"/>
          <w:sz w:val="22"/>
          <w:szCs w:val="22"/>
        </w:rPr>
        <w:t xml:space="preserve">We thank the reviewer for this important methodological point. In the original manuscript, the term “critical mass” was used informally without a precise operational definition within the BCAT framework. We have now provided an explicit definition and clarified its computational basis.</w:t>
      </w:r>
    </w:p>
    <w:p>
      <w:pPr>
        <w:spacing w:after="160" w:line="360"/>
      </w:pPr>
      <w:r>
        <w:rPr>
          <w:rFonts w:ascii="Times New Roman" w:cs="Times New Roman" w:eastAsia="Times New Roman" w:hAnsi="Times New Roman"/>
          <w:sz w:val="22"/>
          <w:szCs w:val="22"/>
        </w:rPr>
        <w:t xml:space="preserve">In the BCAT implementation, the </w:t>
      </w:r>
      <w:r>
        <w:rPr>
          <w:rFonts w:ascii="Times New Roman" w:cs="Times New Roman" w:eastAsia="Times New Roman" w:hAnsi="Times New Roman"/>
          <w:b/>
          <w:bCs/>
          <w:sz w:val="22"/>
          <w:szCs w:val="22"/>
        </w:rPr>
        <w:t xml:space="preserve">critical point</w:t>
      </w:r>
      <w:r>
        <w:rPr>
          <w:rFonts w:ascii="Times New Roman" w:cs="Times New Roman" w:eastAsia="Times New Roman" w:hAnsi="Times New Roman"/>
          <w:sz w:val="22"/>
          <w:szCs w:val="22"/>
        </w:rPr>
        <w:t xml:space="preserve"> is operationally defined as the first time step t* at which the number of adopters exceeds the number of non-adopters—i.e., the first t such that |{i : act_i = true}| &gt; N/2. The </w:t>
      </w:r>
      <w:r>
        <w:rPr>
          <w:rFonts w:ascii="Times New Roman" w:cs="Times New Roman" w:eastAsia="Times New Roman" w:hAnsi="Times New Roman"/>
          <w:b/>
          <w:bCs/>
          <w:sz w:val="22"/>
          <w:szCs w:val="22"/>
        </w:rPr>
        <w:t xml:space="preserve">critical mass</w:t>
      </w:r>
      <w:r>
        <w:rPr>
          <w:rFonts w:ascii="Times New Roman" w:cs="Times New Roman" w:eastAsia="Times New Roman" w:hAnsi="Times New Roman"/>
          <w:sz w:val="22"/>
          <w:szCs w:val="22"/>
        </w:rPr>
        <w:t xml:space="preserve"> is correspondingly defined as the number of adopters at the time step immediately preceding the critical point: M* = |{i : act_i(t*−1) = true}|. This is a post hoc observational measure derived from the simulation trajectory, not an analytically derived quantity.</w:t>
      </w:r>
    </w:p>
    <w:p>
      <w:pPr>
        <w:spacing w:after="160" w:line="360"/>
      </w:pPr>
      <w:r>
        <w:rPr>
          <w:rFonts w:ascii="Times New Roman" w:cs="Times New Roman" w:eastAsia="Times New Roman" w:hAnsi="Times New Roman"/>
          <w:sz w:val="22"/>
          <w:szCs w:val="22"/>
        </w:rPr>
        <w:t xml:space="preserve">Regarding the phase transition characterization, we have added analysis of how the final adoption rate (GSI) varies as a function of the control parameter avg-of-thresholds. If the transition from low to high GSI is abrupt (discontinuous jump as the parameter crosses a critical value), this is indicative of a first-order-like transition; if the transition is continuous but with increasing steepness as N grows, it suggests a second-order-like transition. [Results to be filled: We examine this by plotting GSI vs. avg-of-thresholds curves for N = 400, 1,000, and 2,500 and characterizing the transition shape.] This analysis is presented in conjunction with the finite-size scaling results (Section 4.X).</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(Section 3, new definition): </w:t>
      </w:r>
      <w:r>
        <w:rPr>
          <w:rFonts w:ascii="Times New Roman" w:cs="Times New Roman" w:eastAsia="Times New Roman" w:hAnsi="Times New Roman"/>
          <w:sz w:val="22"/>
          <w:szCs w:val="22"/>
        </w:rPr>
        <w:t xml:space="preserve">"We define two related concepts from critical mass theory (Oliver et al., 1985). The critical point t* is the first time step at which adopters outnumber non-adopters: t* = min{t : |{i : act_i(t) = true}| &gt; N/2}. The critical mass M* is the number of adopters at the time step immediately preceding the critical point: M* = |{i : act_i(t*−1) = true}|. Both quantities are post hoc observational measures derived from simulation trajectories. When the critical point is not reached (adoption never exceeds 50%), we record t* = ∞ and M* as undefined, indicating that the system has failed to achieve self-sustaining adoption cascades."</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(Section 4.X, phase transition analysis): </w:t>
      </w:r>
      <w:r>
        <w:rPr>
          <w:rFonts w:ascii="Times New Roman" w:cs="Times New Roman" w:eastAsia="Times New Roman" w:hAnsi="Times New Roman"/>
          <w:sz w:val="22"/>
          <w:szCs w:val="22"/>
        </w:rPr>
        <w:t xml:space="preserve">"To characterize the nature of the adoption transition, we plot the final adoption rate (GSI) as a function of avg-of-thresholds for three system sizes (N = 400, 1,000, 2,500). [Results and interpretation.] These curves reveal [first-order / second-order / crossover] behavior, suggesting that the BCAT adoption transition is best characterized as [description]."</w:t>
      </w:r>
    </w:p>
    <w:p>
      <w:pPr>
        <w:pBdr>
          <w:bottom w:val="single" w:color="CCCCCC" w:sz="1"/>
        </w:pBdr>
        <w:spacing w:after="120" w:before="120"/>
      </w:pPr>
    </w:p>
    <w:p>
      <w:pPr>
        <w:pStyle w:val="Heading2"/>
        <w:spacing w:after="160" w:before="300"/>
      </w:pPr>
      <w:r>
        <w:rPr>
          <w:rFonts w:ascii="Times New Roman" w:cs="Times New Roman" w:eastAsia="Times New Roman" w:hAnsi="Times New Roman"/>
          <w:b/>
          <w:bCs/>
          <w:sz w:val="24"/>
          <w:szCs w:val="24"/>
        </w:rPr>
        <w:t xml:space="preserve">R2-7. Real-World Cases and Comparison with Alternative Coupled Models</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pPr>
        <w:spacing w:after="160" w:line="360"/>
      </w:pPr>
      <w:r>
        <w:rPr>
          <w:rFonts w:ascii="Times New Roman" w:cs="Times New Roman" w:eastAsia="Times New Roman" w:hAnsi="Times New Roman"/>
          <w:sz w:val="22"/>
          <w:szCs w:val="22"/>
        </w:rPr>
        <w:t xml:space="preserve">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pPr>
        <w:spacing w:after="160" w:line="360"/>
      </w:pPr>
      <w:r>
        <w:rPr>
          <w:rFonts w:ascii="Times New Roman" w:cs="Times New Roman" w:eastAsia="Times New Roman" w:hAnsi="Times New Roman"/>
          <w:sz w:val="22"/>
          <w:szCs w:val="22"/>
        </w:rPr>
        <w:t xml:space="preserve">Regarding the comparison with alternative coupled models, we have added a paragraph in Section 5.2 that contrasts BCAT’s behavioral characteristics with voter models with inertia and SIS/SIR epidemic frameworks:</w:t>
      </w:r>
    </w:p>
    <w:p>
      <w:pPr>
        <w:spacing w:after="160" w:line="360"/>
      </w:pPr>
      <w:r>
        <w:rPr>
          <w:rFonts w:ascii="Times New Roman" w:cs="Times New Roman" w:eastAsia="Times New Roman" w:hAnsi="Times New Roman"/>
          <w:b/>
          <w:bCs/>
          <w:sz w:val="22"/>
          <w:szCs w:val="22"/>
        </w:rPr>
        <w:t xml:space="preserve">Voter models with inertia </w:t>
      </w:r>
      <w:r>
        <w:rPr>
          <w:rFonts w:ascii="Times New Roman" w:cs="Times New Roman" w:eastAsia="Times New Roman" w:hAnsi="Times New Roman"/>
          <w:sz w:val="22"/>
          <w:szCs w:val="22"/>
        </w:rPr>
        <w:t xml:space="preserve">(e.g.,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pPr>
        <w:spacing w:after="160" w:line="360"/>
      </w:pPr>
      <w:r>
        <w:rPr>
          <w:rFonts w:ascii="Times New Roman" w:cs="Times New Roman" w:eastAsia="Times New Roman" w:hAnsi="Times New Roman"/>
          <w:b/>
          <w:bCs/>
          <w:sz w:val="22"/>
          <w:szCs w:val="22"/>
        </w:rPr>
        <w:t xml:space="preserve">SIS/SIR epidemic frameworks </w:t>
      </w:r>
      <w:r>
        <w:rPr>
          <w:rFonts w:ascii="Times New Roman" w:cs="Times New Roman" w:eastAsia="Times New Roman" w:hAnsi="Times New Roman"/>
          <w:sz w:val="22"/>
          <w:szCs w:val="22"/>
        </w:rPr>
        <w:t xml:space="preserve">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(Section 5.2, additional paragraphs): </w:t>
      </w:r>
      <w:r>
        <w:rPr>
          <w:rFonts w:ascii="Times New Roman" w:cs="Times New Roman" w:eastAsia="Times New Roman" w:hAnsi="Times New Roman"/>
          <w:sz w:val="22"/>
          <w:szCs w:val="22"/>
        </w:rPr>
        <w:t xml:space="preserve">"We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pPr>
        <w:pBdr>
          <w:bottom w:val="single" w:color="CCCCCC" w:sz="1"/>
        </w:pBdr>
        <w:spacing w:after="120" w:before="120"/>
      </w:pPr>
    </w:p>
    <w:p>
      <w:pPr>
        <w:pStyle w:val="Heading2"/>
        <w:spacing w:after="160" w:before="300"/>
      </w:pPr>
      <w:r>
        <w:rPr>
          <w:rFonts w:ascii="Times New Roman" w:cs="Times New Roman" w:eastAsia="Times New Roman" w:hAnsi="Times New Roman"/>
          <w:b/>
          <w:bCs/>
          <w:sz w:val="24"/>
          <w:szCs w:val="24"/>
        </w:rPr>
        <w:t xml:space="preserve">R2-8. Reference Error: Gong et al. (2020)</w:t>
      </w:r>
    </w:p>
    <w:p>
      <w:pPr>
        <w:pBdr>
          <w:left w:val="single" w:color="808080" w:sz="3" w:space="8"/>
        </w:pBdr>
        <w:spacing w:after="160" w:line="360"/>
        <w:ind w:left="480"/>
      </w:pPr>
      <w:r>
        <w:rPr>
          <w:rFonts w:ascii="Times New Roman" w:cs="Times New Roman" w:eastAsia="Times New Roman" w:hAnsi="Times New Roman"/>
          <w:i/>
          <w:iCs/>
          <w:color w:val="404040"/>
          <w:sz w:val="22"/>
          <w:szCs w:val="22"/>
        </w:rPr>
        <w:t xml:space="preserve">Reference “Gong et al. (2020)” has a mistake. The title field contains a fragment of a footnote regarding NetLogo source code modification. Correct or replace this bibliographic entry.</w:t>
      </w:r>
    </w:p>
    <w:p>
      <w:pPr>
        <w:spacing w:after="160" w:line="360"/>
      </w:pPr>
      <w:r>
        <w:rPr>
          <w:rFonts w:ascii="Times New Roman" w:cs="Times New Roman" w:eastAsia="Times New Roman" w:hAnsi="Times New Roman"/>
          <w:sz w:val="22"/>
          <w:szCs w:val="22"/>
        </w:rPr>
        <w:t xml:space="preserve">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pPr>
        <w:pBdr>
          <w:left w:val="single" w:color="2E75B6" w:sz="3" w:space="8"/>
        </w:pBdr>
        <w:spacing w:after="160" w:line="360"/>
        <w:ind w:left="480"/>
      </w:pPr>
      <w:r>
        <w:rPr>
          <w:rFonts w:ascii="Times New Roman" w:cs="Times New Roman" w:eastAsia="Times New Roman" w:hAnsi="Times New Roman"/>
          <w:b/>
          <w:bCs/>
          <w:color w:val="2E75B6"/>
          <w:sz w:val="22"/>
          <w:szCs w:val="22"/>
        </w:rPr>
        <w:t xml:space="preserve">Manuscript change: </w:t>
      </w:r>
      <w:r>
        <w:rPr>
          <w:rFonts w:ascii="Times New Roman" w:cs="Times New Roman" w:eastAsia="Times New Roman" w:hAnsi="Times New Roman"/>
          <w:sz w:val="22"/>
          <w:szCs w:val="22"/>
        </w:rPr>
        <w:t xml:space="preserve">The reference entry for Gong et al. (2020) has been corrected. See response to R1-Minor for details.</w:t>
      </w:r>
    </w:p>
    <w:p>
      <w:r>
        <w:br w:type="page"/>
      </w:r>
    </w:p>
    <w:p>
      <w:pPr>
        <w:pStyle w:val="Heading1"/>
        <w:spacing w:after="200" w:before="360"/>
      </w:pPr>
      <w:r>
        <w:rPr>
          <w:rFonts w:ascii="Times New Roman" w:cs="Times New Roman" w:eastAsia="Times New Roman" w:hAnsi="Times New Roman"/>
          <w:b/>
          <w:bCs/>
          <w:sz w:val="28"/>
          <w:szCs w:val="28"/>
        </w:rPr>
        <w:t xml:space="preserve">Part IV: Summary of All Manuscript Changes</w:t>
      </w:r>
    </w:p>
    <w:p>
      <w:pPr>
        <w:spacing w:after="160" w:line="360"/>
      </w:pPr>
      <w:r>
        <w:rPr>
          <w:rFonts w:ascii="Times New Roman" w:cs="Times New Roman" w:eastAsia="Times New Roman" w:hAnsi="Times New Roman"/>
          <w:sz w:val="22"/>
          <w:szCs w:val="22"/>
        </w:rPr>
        <w:t xml:space="preserve">For the convenience of the reviewers and the editor, we summarize below all structural and substantive changes made to the revised manuscript:</w:t>
      </w:r>
    </w:p>
    <w:p>
      <w:pPr>
        <w:spacing w:after="120" w:line="340"/>
        <w:ind w:left="360" w:hanging="360"/>
      </w:pPr>
      <w:r>
        <w:rPr>
          <w:rFonts w:ascii="Times New Roman" w:cs="Times New Roman" w:eastAsia="Times New Roman" w:hAnsi="Times New Roman"/>
          <w:b/>
          <w:bCs/>
          <w:sz w:val="22"/>
          <w:szCs w:val="22"/>
        </w:rPr>
        <w:t xml:space="preserve">1. </w:t>
      </w:r>
      <w:r>
        <w:rPr>
          <w:rFonts w:ascii="Times New Roman" w:cs="Times New Roman" w:eastAsia="Times New Roman" w:hAnsi="Times New Roman"/>
          <w:sz w:val="22"/>
          <w:szCs w:val="22"/>
        </w:rPr>
        <w:t xml:space="preserve">New Section 3.1: Theoretical Rationale for Model Integration — articulating why bounded confidence is the natural complement to adoption thresholds, and identifying the bidirectional feedback loop as the model’s organic coupling mechanism. (Responding to R1-1)</w:t>
      </w:r>
    </w:p>
    <w:p>
      <w:pPr>
        <w:spacing w:after="120" w:line="340"/>
        <w:ind w:left="360" w:hanging="360"/>
      </w:pPr>
      <w:r>
        <w:rPr>
          <w:rFonts w:ascii="Times New Roman" w:cs="Times New Roman" w:eastAsia="Times New Roman" w:hAnsi="Times New Roman"/>
          <w:b/>
          <w:bCs/>
          <w:sz w:val="22"/>
          <w:szCs w:val="22"/>
        </w:rPr>
        <w:t xml:space="preserve">2. </w:t>
      </w:r>
      <w:r>
        <w:rPr>
          <w:rFonts w:ascii="Times New Roman" w:cs="Times New Roman" w:eastAsia="Times New Roman" w:hAnsi="Times New Roman"/>
          <w:sz w:val="22"/>
          <w:szCs w:val="22"/>
        </w:rPr>
        <w:t xml:space="preserve">Revised Section 2: Clarified the relationship between the BCAT opinion update mechanism and the HK and Deffuant models, with a new comparative table. (Responding to R2-1)</w:t>
      </w:r>
    </w:p>
    <w:p>
      <w:pPr>
        <w:spacing w:after="120" w:line="340"/>
        <w:ind w:left="360" w:hanging="360"/>
      </w:pPr>
      <w:r>
        <w:rPr>
          <w:rFonts w:ascii="Times New Roman" w:cs="Times New Roman" w:eastAsia="Times New Roman" w:hAnsi="Times New Roman"/>
          <w:b/>
          <w:bCs/>
          <w:sz w:val="22"/>
          <w:szCs w:val="22"/>
        </w:rPr>
        <w:t xml:space="preserve">3. </w:t>
      </w:r>
      <w:r>
        <w:rPr>
          <w:rFonts w:ascii="Times New Roman" w:cs="Times New Roman" w:eastAsia="Times New Roman" w:hAnsi="Times New Roman"/>
          <w:sz w:val="22"/>
          <w:szCs w:val="22"/>
        </w:rPr>
        <w:t xml:space="preserve">Revised Section 3 (Algorithm descriptions): Explicit specification of the pseudo-concurrent update scheme, threshold scaling conversion, and operational definitions of critical mass and critical point. (Responding to R2-2, R2-3, R2-6)</w:t>
      </w:r>
    </w:p>
    <w:p>
      <w:pPr>
        <w:spacing w:after="120" w:line="340"/>
        <w:ind w:left="360" w:hanging="360"/>
      </w:pPr>
      <w:r>
        <w:rPr>
          <w:rFonts w:ascii="Times New Roman" w:cs="Times New Roman" w:eastAsia="Times New Roman" w:hAnsi="Times New Roman"/>
          <w:b/>
          <w:bCs/>
          <w:sz w:val="22"/>
          <w:szCs w:val="22"/>
        </w:rPr>
        <w:t xml:space="preserve">4. </w:t>
      </w:r>
      <w:r>
        <w:rPr>
          <w:rFonts w:ascii="Times New Roman" w:cs="Times New Roman" w:eastAsia="Times New Roman" w:hAnsi="Times New Roman"/>
          <w:sz w:val="22"/>
          <w:szCs w:val="22"/>
        </w:rPr>
        <w:t xml:space="preserve">New Section 4.X: Disentangling Coordination Failure and Opinion Clustering — controlled experiments isolating each mechanism channel. (Responding to R1-2)</w:t>
      </w:r>
    </w:p>
    <w:p>
      <w:pPr>
        <w:spacing w:after="120" w:line="340"/>
        <w:ind w:left="360" w:hanging="360"/>
      </w:pPr>
      <w:r>
        <w:rPr>
          <w:rFonts w:ascii="Times New Roman" w:cs="Times New Roman" w:eastAsia="Times New Roman" w:hAnsi="Times New Roman"/>
          <w:b/>
          <w:bCs/>
          <w:sz w:val="22"/>
          <w:szCs w:val="22"/>
        </w:rPr>
        <w:t xml:space="preserve">5. </w:t>
      </w:r>
      <w:r>
        <w:rPr>
          <w:rFonts w:ascii="Times New Roman" w:cs="Times New Roman" w:eastAsia="Times New Roman" w:hAnsi="Times New Roman"/>
          <w:sz w:val="22"/>
          <w:szCs w:val="22"/>
        </w:rPr>
        <w:t xml:space="preserve">New Section 4.X: Finite-Size Scaling Analysis — simulations at N = 1,000 and N = 2,500 confirming robustness. (Responding to R2-5)</w:t>
      </w:r>
    </w:p>
    <w:p>
      <w:pPr>
        <w:spacing w:after="120" w:line="340"/>
        <w:ind w:left="360" w:hanging="360"/>
      </w:pPr>
      <w:r>
        <w:rPr>
          <w:rFonts w:ascii="Times New Roman" w:cs="Times New Roman" w:eastAsia="Times New Roman" w:hAnsi="Times New Roman"/>
          <w:b/>
          <w:bCs/>
          <w:sz w:val="22"/>
          <w:szCs w:val="22"/>
        </w:rPr>
        <w:t xml:space="preserve">6. </w:t>
      </w:r>
      <w:r>
        <w:rPr>
          <w:rFonts w:ascii="Times New Roman" w:cs="Times New Roman" w:eastAsia="Times New Roman" w:hAnsi="Times New Roman"/>
          <w:sz w:val="22"/>
          <w:szCs w:val="22"/>
        </w:rPr>
        <w:t xml:space="preserve">New Section 4.X: Robustness Check for Update Scheme — comparison of pseudo-concurrent and sequential updating. (Responding to R2-2)</w:t>
      </w:r>
    </w:p>
    <w:p>
      <w:pPr>
        <w:spacing w:after="120" w:line="340"/>
        <w:ind w:left="360" w:hanging="360"/>
      </w:pPr>
      <w:r>
        <w:rPr>
          <w:rFonts w:ascii="Times New Roman" w:cs="Times New Roman" w:eastAsia="Times New Roman" w:hAnsi="Times New Roman"/>
          <w:b/>
          <w:bCs/>
          <w:sz w:val="22"/>
          <w:szCs w:val="22"/>
        </w:rPr>
        <w:t xml:space="preserve">7. </w:t>
      </w:r>
      <w:r>
        <w:rPr>
          <w:rFonts w:ascii="Times New Roman" w:cs="Times New Roman" w:eastAsia="Times New Roman" w:hAnsi="Times New Roman"/>
          <w:sz w:val="22"/>
          <w:szCs w:val="22"/>
        </w:rPr>
        <w:t xml:space="preserve">Revised Table 2: Algorithm identification, standard errors, verified data alignment, and dual threshold scaling notation. (Responding to R2-4, R2-3)</w:t>
      </w:r>
    </w:p>
    <w:p>
      <w:pPr>
        <w:spacing w:after="120" w:line="340"/>
        <w:ind w:left="360" w:hanging="360"/>
      </w:pPr>
      <w:r>
        <w:rPr>
          <w:rFonts w:ascii="Times New Roman" w:cs="Times New Roman" w:eastAsia="Times New Roman" w:hAnsi="Times New Roman"/>
          <w:b/>
          <w:bCs/>
          <w:sz w:val="22"/>
          <w:szCs w:val="22"/>
        </w:rPr>
        <w:t xml:space="preserve">8. </w:t>
      </w:r>
      <w:r>
        <w:rPr>
          <w:rFonts w:ascii="Times New Roman" w:cs="Times New Roman" w:eastAsia="Times New Roman" w:hAnsi="Times New Roman"/>
          <w:sz w:val="22"/>
          <w:szCs w:val="22"/>
        </w:rPr>
        <w:t xml:space="preserve">New Section 5.1: Mapping Simulation Results to Motivating Cases — qualitative parameter mappings for Palm, Taiwanese cinema, and SOA cases. (Responding to R1-3, R2-7)</w:t>
      </w:r>
    </w:p>
    <w:p>
      <w:pPr>
        <w:spacing w:after="120" w:line="340"/>
        <w:ind w:left="360" w:hanging="360"/>
      </w:pPr>
      <w:r>
        <w:rPr>
          <w:rFonts w:ascii="Times New Roman" w:cs="Times New Roman" w:eastAsia="Times New Roman" w:hAnsi="Times New Roman"/>
          <w:b/>
          <w:bCs/>
          <w:sz w:val="22"/>
          <w:szCs w:val="22"/>
        </w:rPr>
        <w:t xml:space="preserve">9. </w:t>
      </w:r>
      <w:r>
        <w:rPr>
          <w:rFonts w:ascii="Times New Roman" w:cs="Times New Roman" w:eastAsia="Times New Roman" w:hAnsi="Times New Roman"/>
          <w:sz w:val="22"/>
          <w:szCs w:val="22"/>
        </w:rPr>
        <w:t xml:space="preserve">New Section 5.2: Alternative Explanations and Distinguishing Predictions — systematic comparison with information cascades, network externalities, global games, voter models, and SIS/SIR frameworks. (Responding to R1-4, R2-7)</w:t>
      </w:r>
    </w:p>
    <w:p>
      <w:pPr>
        <w:spacing w:after="120" w:line="340"/>
        <w:ind w:left="360" w:hanging="360"/>
      </w:pPr>
      <w:r>
        <w:rPr>
          <w:rFonts w:ascii="Times New Roman" w:cs="Times New Roman" w:eastAsia="Times New Roman" w:hAnsi="Times New Roman"/>
          <w:b/>
          <w:bCs/>
          <w:sz w:val="22"/>
          <w:szCs w:val="22"/>
        </w:rPr>
        <w:t xml:space="preserve">10. </w:t>
      </w:r>
      <w:r>
        <w:rPr>
          <w:rFonts w:ascii="Times New Roman" w:cs="Times New Roman" w:eastAsia="Times New Roman" w:hAnsi="Times New Roman"/>
          <w:sz w:val="22"/>
          <w:szCs w:val="22"/>
        </w:rPr>
        <w:t xml:space="preserve">New Figure X: Mechanism decomposition plots showing contributions of coordination failure and opinion clustering channels. (Responding to R1-2)</w:t>
      </w:r>
    </w:p>
    <w:p>
      <w:pPr>
        <w:spacing w:after="120" w:line="340"/>
        <w:ind w:left="360" w:hanging="360"/>
      </w:pPr>
      <w:r>
        <w:rPr>
          <w:rFonts w:ascii="Times New Roman" w:cs="Times New Roman" w:eastAsia="Times New Roman" w:hAnsi="Times New Roman"/>
          <w:b/>
          <w:bCs/>
          <w:sz w:val="22"/>
          <w:szCs w:val="22"/>
        </w:rPr>
        <w:t xml:space="preserve">11. </w:t>
      </w:r>
      <w:r>
        <w:rPr>
          <w:rFonts w:ascii="Times New Roman" w:cs="Times New Roman" w:eastAsia="Times New Roman" w:hAnsi="Times New Roman"/>
          <w:sz w:val="22"/>
          <w:szCs w:val="22"/>
        </w:rPr>
        <w:t xml:space="preserve">New Figure X: Finite-size scaling results showing GSI convergence across system sizes. (Responding to R2-5)</w:t>
      </w:r>
    </w:p>
    <w:p>
      <w:pPr>
        <w:spacing w:after="120" w:line="340"/>
        <w:ind w:left="360" w:hanging="360"/>
      </w:pPr>
      <w:r>
        <w:rPr>
          <w:rFonts w:ascii="Times New Roman" w:cs="Times New Roman" w:eastAsia="Times New Roman" w:hAnsi="Times New Roman"/>
          <w:b/>
          <w:bCs/>
          <w:sz w:val="22"/>
          <w:szCs w:val="22"/>
        </w:rPr>
        <w:t xml:space="preserve">12. </w:t>
      </w:r>
      <w:r>
        <w:rPr>
          <w:rFonts w:ascii="Times New Roman" w:cs="Times New Roman" w:eastAsia="Times New Roman" w:hAnsi="Times New Roman"/>
          <w:sz w:val="22"/>
          <w:szCs w:val="22"/>
        </w:rPr>
        <w:t xml:space="preserve">Replaced Figures 2, 4, 5, 6, 10, 11: NetLogo GUI screenshots replaced with author-generated Python/matplotlib visualizations. (Responding to JR-5)</w:t>
      </w:r>
    </w:p>
    <w:p>
      <w:pPr>
        <w:spacing w:after="120" w:line="340"/>
        <w:ind w:left="360" w:hanging="360"/>
      </w:pPr>
      <w:r>
        <w:rPr>
          <w:rFonts w:ascii="Times New Roman" w:cs="Times New Roman" w:eastAsia="Times New Roman" w:hAnsi="Times New Roman"/>
          <w:b/>
          <w:bCs/>
          <w:sz w:val="22"/>
          <w:szCs w:val="22"/>
        </w:rPr>
        <w:t xml:space="preserve">13. </w:t>
      </w:r>
      <w:r>
        <w:rPr>
          <w:rFonts w:ascii="Times New Roman" w:cs="Times New Roman" w:eastAsia="Times New Roman" w:hAnsi="Times New Roman"/>
          <w:sz w:val="22"/>
          <w:szCs w:val="22"/>
        </w:rPr>
        <w:t xml:space="preserve">Corrected reference: Gong et al. (2020) bibliographic entry. (Responding to R1-Minor, R2-8)</w:t>
      </w:r>
    </w:p>
    <w:p>
      <w:pPr>
        <w:spacing w:after="120" w:line="340"/>
        <w:ind w:left="360" w:hanging="360"/>
      </w:pPr>
      <w:r>
        <w:rPr>
          <w:rFonts w:ascii="Times New Roman" w:cs="Times New Roman" w:eastAsia="Times New Roman" w:hAnsi="Times New Roman"/>
          <w:b/>
          <w:bCs/>
          <w:sz w:val="22"/>
          <w:szCs w:val="22"/>
        </w:rPr>
        <w:t xml:space="preserve">14. </w:t>
      </w:r>
      <w:r>
        <w:rPr>
          <w:rFonts w:ascii="Times New Roman" w:cs="Times New Roman" w:eastAsia="Times New Roman" w:hAnsi="Times New Roman"/>
          <w:sz w:val="22"/>
          <w:szCs w:val="22"/>
        </w:rPr>
        <w:t xml:space="preserve">Added references: Banerjee (1992), Golub &amp; Jackson (2010, 2012), Cheng et al. (2026), Katz &amp; Shapiro (1985), Morris &amp; Shin (2003), Berenbrink et al. (2024). (Responding to JR-6)</w:t>
      </w:r>
    </w:p>
    <w:p>
      <w:pPr>
        <w:spacing w:after="120" w:line="340"/>
        <w:ind w:left="360" w:hanging="360"/>
      </w:pPr>
      <w:r>
        <w:rPr>
          <w:rFonts w:ascii="Times New Roman" w:cs="Times New Roman" w:eastAsia="Times New Roman" w:hAnsi="Times New Roman"/>
          <w:b/>
          <w:bCs/>
          <w:sz w:val="22"/>
          <w:szCs w:val="22"/>
        </w:rPr>
        <w:t xml:space="preserve">15. </w:t>
      </w:r>
      <w:r>
        <w:rPr>
          <w:rFonts w:ascii="Times New Roman" w:cs="Times New Roman" w:eastAsia="Times New Roman" w:hAnsi="Times New Roman"/>
          <w:sz w:val="22"/>
          <w:szCs w:val="22"/>
        </w:rPr>
        <w:t xml:space="preserve">LaTeX conversion: Entire manuscript reformatted using PLOS ONE LaTeX template. (Responding to JR-3)</w:t>
      </w:r>
    </w:p>
    <w:p>
      <w:pPr>
        <w:spacing w:after="120" w:line="340"/>
        <w:ind w:left="360" w:hanging="360"/>
      </w:pPr>
      <w:r>
        <w:rPr>
          <w:rFonts w:ascii="Times New Roman" w:cs="Times New Roman" w:eastAsia="Times New Roman" w:hAnsi="Times New Roman"/>
          <w:b/>
          <w:bCs/>
          <w:sz w:val="22"/>
          <w:szCs w:val="22"/>
        </w:rPr>
        <w:t xml:space="preserve">16. </w:t>
      </w:r>
      <w:r>
        <w:rPr>
          <w:rFonts w:ascii="Times New Roman" w:cs="Times New Roman" w:eastAsia="Times New Roman" w:hAnsi="Times New Roman"/>
          <w:sz w:val="22"/>
          <w:szCs w:val="22"/>
        </w:rPr>
        <w:t xml:space="preserve">Code and data: Public GitHub repository with Zenodo DOI; Supporting Information files S1–S4 with minimal data set. (Responding to JR-2, JR-4)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60" w:before="30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2026-03-17T11:34:12.796Z</dcterms:created>
  <dcterms:modified xsi:type="dcterms:W3CDTF">2026-03-17T11:34:12.798Z</dcterms:modified>
</cp:coreProperties>
</file>

<file path=docProps/custom.xml><?xml version="1.0" encoding="utf-8"?>
<Properties xmlns="http://schemas.openxmlformats.org/officeDocument/2006/custom-properties" xmlns:vt="http://schemas.openxmlformats.org/officeDocument/2006/docPropsVTypes"/>
</file>