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3A13" w14:textId="77777777" w:rsidR="005150AD" w:rsidRPr="00D43B55" w:rsidRDefault="005150AD">
      <w:pPr>
        <w:spacing w:before="2400"/>
      </w:pPr>
    </w:p>
    <w:p w14:paraId="141CEF27" w14:textId="77777777" w:rsidR="005150AD" w:rsidRPr="00D43B55" w:rsidRDefault="00000000">
      <w:pPr>
        <w:spacing w:after="240"/>
        <w:jc w:val="center"/>
        <w:rPr>
          <w:sz w:val="40"/>
          <w:szCs w:val="40"/>
        </w:rPr>
      </w:pPr>
      <w:r>
        <w:rPr>
          <w:rFonts w:eastAsia="Times New Roman"/>
          <w:b/>
          <w:bCs/>
          <w:sz w:val="40"/>
          <w:szCs w:val="40"/>
        </w:rPr>
        <w:t>Response to Reviewers</w:t>
      </w:r>
    </w:p>
    <w:p w14:paraId="350F7593" w14:textId="77777777" w:rsidR="005150AD" w:rsidRPr="00D43B55" w:rsidRDefault="00000000">
      <w:pPr>
        <w:spacing w:after="120"/>
        <w:jc w:val="center"/>
      </w:pPr>
      <w:r>
        <w:rPr>
          <w:rFonts w:eastAsia="Times New Roman"/>
          <w:sz w:val="24"/>
          <w:szCs w:val="24"/>
        </w:rPr>
        <w:t>Manuscript ID: PONE-D-26-01398</w:t>
      </w:r>
    </w:p>
    <w:p w14:paraId="2D1E4A0A" w14:textId="77777777" w:rsidR="005150AD" w:rsidRPr="00D43B55" w:rsidRDefault="00000000">
      <w:pPr>
        <w:spacing w:after="480"/>
        <w:jc w:val="center"/>
      </w:pPr>
      <w:r>
        <w:rPr>
          <w:rFonts w:eastAsia="Times New Roman"/>
          <w:i/>
          <w:iCs/>
          <w:sz w:val="24"/>
          <w:szCs w:val="24"/>
        </w:rPr>
        <w:t>"Exploring the ‘Best Game No One Played’ Phenomenon Using A Mixed Opinion Dynamics and Innovation Diffusion Model"</w:t>
      </w:r>
    </w:p>
    <w:p w14:paraId="7E0B3FF7" w14:textId="77777777" w:rsidR="005150AD" w:rsidRPr="00D43B55" w:rsidRDefault="00000000">
      <w:pPr>
        <w:spacing w:after="120"/>
        <w:jc w:val="center"/>
      </w:pPr>
      <w:r>
        <w:rPr>
          <w:rFonts w:eastAsia="Times New Roman"/>
          <w:sz w:val="24"/>
          <w:szCs w:val="24"/>
        </w:rPr>
        <w:t>Chung-Yuan Huang and Sheng-Wen Wang</w:t>
      </w:r>
    </w:p>
    <w:p w14:paraId="10A1DADF" w14:textId="77777777" w:rsidR="005150AD" w:rsidRPr="00D43B55" w:rsidRDefault="00000000">
      <w:r>
        <w:br w:type="page"/>
      </w:r>
    </w:p>
    <w:p w14:paraId="2C566578" w14:textId="77777777" w:rsidR="005150AD" w:rsidRPr="00630B2A" w:rsidRDefault="00000000" w:rsidP="00D43B55">
      <w:pPr>
        <w:pStyle w:val="1"/>
        <w:spacing w:before="0" w:afterLines="100" w:after="240" w:line="360" w:lineRule="auto"/>
        <w:jc w:val="center"/>
      </w:pPr>
      <w:r>
        <w:lastRenderedPageBreak/>
        <w:t>Letter to the Academic Editor</w:t>
      </w:r>
    </w:p>
    <w:p w14:paraId="097F78E0" w14:textId="77777777" w:rsidR="005150AD" w:rsidRPr="00D43B55" w:rsidRDefault="00000000" w:rsidP="00630B2A">
      <w:pPr>
        <w:spacing w:afterLines="50" w:after="120" w:line="360" w:lineRule="auto"/>
        <w:rPr>
          <w:sz w:val="24"/>
          <w:szCs w:val="24"/>
        </w:rPr>
      </w:pPr>
      <w:r>
        <w:rPr>
          <w:rFonts w:eastAsia="Times New Roman"/>
          <w:sz w:val="24"/>
          <w:szCs w:val="24"/>
        </w:rPr>
        <w:t>Dear Prof. Krzysztof Malarz,</w:t>
      </w:r>
    </w:p>
    <w:p w14:paraId="7A4CD967" w14:textId="77777777" w:rsidR="005150AD" w:rsidRPr="00D43B55" w:rsidRDefault="00000000" w:rsidP="00630B2A">
      <w:pPr>
        <w:spacing w:afterLines="50" w:after="120" w:line="360" w:lineRule="auto"/>
        <w:ind w:firstLineChars="200" w:firstLine="480"/>
        <w:rPr>
          <w:sz w:val="24"/>
          <w:szCs w:val="24"/>
        </w:rPr>
      </w:pPr>
      <w:r>
        <w:rPr>
          <w:rFonts w:eastAsia="Times New Roman"/>
          <w:sz w:val="24"/>
          <w:szCs w:val="24"/>
        </w:rPr>
        <w:t>Thank you for handling our manuscript and for the opportunity to revise and resubmit. We are grateful to both reviewers for their thorough and constructive evaluations, which helped us improve the theoretical depth, methodological rigor, and overall clarity of the manuscript.</w:t>
      </w:r>
    </w:p>
    <w:p w14:paraId="713D2ED0" w14:textId="77777777" w:rsidR="005150AD" w:rsidRPr="00D43B55" w:rsidRDefault="00000000" w:rsidP="00630B2A">
      <w:pPr>
        <w:spacing w:afterLines="50" w:after="120" w:line="360" w:lineRule="auto"/>
        <w:ind w:firstLineChars="200" w:firstLine="480"/>
        <w:rPr>
          <w:sz w:val="24"/>
          <w:szCs w:val="24"/>
        </w:rPr>
      </w:pPr>
      <w:r>
        <w:rPr>
          <w:rFonts w:eastAsia="Times New Roman"/>
          <w:sz w:val="24"/>
          <w:szCs w:val="24"/>
        </w:rPr>
        <w:t>We addressed every point raised by the reviewers and the journal editorial office. The major changes include: (1) a revised theoretical framework that explains why we integrate bounded confidence opinion dynamics with adoption thresholds, and how the model relates to both the Hegselmann–Krause and Deffuant traditions; (2) new controlled experiments that disentangle the coordination failure channel from the opinion clustering channel; (3) finite-size scaling experiments at N = 900, N = 1,600, and N = 2,500 to confirm robustness; (4) a new discussion section comparing the BCAT model with alternative frameworks, including information cascades, network externalities, and global games; (5) corrected and expanded statistical reporting in Table 3 with algorithm identification, standard errors, and verified data alignment; (6) an operational definition of the critical point within the BCAT framework; (7) new figures replacing NetLogo GUI screenshots with author-generated visualizations; (8) conversion to the PLOS LaTeX template with public code and data repositories; (9) expanded Discussion paragraphs that ground the three motivating cases—the Palm handheld, the Taiwanese film The Bold, The Corrupt and The Beautiful, and service-oriented architecture—in specific model parameters and simulation figures; and (10) comparison with voter models with inertia and SIS/SIR epidemic frameworks to clarify the model’s unique two-channel structure.</w:t>
      </w:r>
    </w:p>
    <w:p w14:paraId="5339DF11" w14:textId="77777777" w:rsidR="005150AD" w:rsidRPr="00D43B55" w:rsidRDefault="00000000" w:rsidP="00630B2A">
      <w:pPr>
        <w:spacing w:afterLines="50" w:after="120" w:line="360" w:lineRule="auto"/>
        <w:ind w:firstLineChars="200" w:firstLine="480"/>
        <w:rPr>
          <w:sz w:val="24"/>
          <w:szCs w:val="24"/>
        </w:rPr>
      </w:pPr>
      <w:r>
        <w:rPr>
          <w:rFonts w:eastAsia="Times New Roman"/>
          <w:sz w:val="24"/>
          <w:szCs w:val="24"/>
        </w:rPr>
        <w:t xml:space="preserve">Below, we provide a point-by-point response to all journal requirements and reviewer comments. Reviewer comments are shown in </w:t>
      </w:r>
      <w:r>
        <w:rPr>
          <w:rFonts w:eastAsia="Times New Roman"/>
          <w:i/>
          <w:iCs/>
          <w:sz w:val="24"/>
          <w:szCs w:val="24"/>
        </w:rPr>
        <w:t>gray italics</w:t>
      </w:r>
      <w:r>
        <w:rPr>
          <w:rFonts w:eastAsia="Times New Roman"/>
          <w:sz w:val="24"/>
          <w:szCs w:val="24"/>
        </w:rPr>
        <w:t xml:space="preserve">, our responses in regular text, and specific manuscript changes are highlighted in </w:t>
      </w:r>
      <w:r>
        <w:rPr>
          <w:rFonts w:eastAsia="Times New Roman"/>
          <w:b/>
          <w:bCs/>
          <w:color w:val="2E75B6"/>
          <w:sz w:val="24"/>
          <w:szCs w:val="24"/>
        </w:rPr>
        <w:t>blue-bordered blocks</w:t>
      </w:r>
      <w:r>
        <w:rPr>
          <w:rFonts w:eastAsia="Times New Roman"/>
          <w:sz w:val="24"/>
          <w:szCs w:val="24"/>
        </w:rPr>
        <w:t>.</w:t>
      </w:r>
    </w:p>
    <w:p w14:paraId="6E2F729A" w14:textId="77777777" w:rsidR="005150AD" w:rsidRPr="00D43B55" w:rsidRDefault="00000000" w:rsidP="00630B2A">
      <w:pPr>
        <w:spacing w:afterLines="50" w:after="120" w:line="360" w:lineRule="auto"/>
        <w:ind w:firstLineChars="200" w:firstLine="480"/>
        <w:rPr>
          <w:sz w:val="24"/>
          <w:szCs w:val="24"/>
        </w:rPr>
      </w:pPr>
      <w:r>
        <w:rPr>
          <w:rFonts w:eastAsia="Times New Roman"/>
          <w:sz w:val="24"/>
          <w:szCs w:val="24"/>
        </w:rPr>
        <w:t>Sincerely,</w:t>
      </w:r>
    </w:p>
    <w:p w14:paraId="2D4C7F93" w14:textId="77777777" w:rsidR="005150AD" w:rsidRPr="00D43B55" w:rsidRDefault="00000000" w:rsidP="00630B2A">
      <w:pPr>
        <w:spacing w:afterLines="50" w:after="120" w:line="360" w:lineRule="auto"/>
        <w:jc w:val="right"/>
        <w:rPr>
          <w:i/>
          <w:iCs/>
          <w:sz w:val="24"/>
          <w:szCs w:val="24"/>
          <w:u w:val="single"/>
        </w:rPr>
      </w:pPr>
      <w:r>
        <w:rPr>
          <w:rFonts w:eastAsia="Times New Roman"/>
          <w:i/>
          <w:iCs/>
          <w:sz w:val="24"/>
          <w:szCs w:val="24"/>
          <w:u w:val="single"/>
        </w:rPr>
        <w:t>Chung-Yuan Huang and Sheng-Wen Wang</w:t>
      </w:r>
    </w:p>
    <w:p w14:paraId="6AC6E72B" w14:textId="77777777" w:rsidR="005150AD" w:rsidRPr="00D43B55" w:rsidRDefault="00000000">
      <w:r>
        <w:br w:type="page"/>
      </w:r>
    </w:p>
    <w:p w14:paraId="20D46D52" w14:textId="77777777" w:rsidR="00904E86" w:rsidRPr="00D43B55" w:rsidRDefault="00000000" w:rsidP="005F6E50">
      <w:pPr>
        <w:pStyle w:val="1"/>
        <w:spacing w:before="0" w:afterLines="50" w:after="120"/>
        <w:rPr>
          <w:sz w:val="24"/>
          <w:szCs w:val="24"/>
        </w:rPr>
      </w:pPr>
      <w:r>
        <w:rPr>
          <w:sz w:val="24"/>
          <w:szCs w:val="24"/>
        </w:rPr>
        <w:lastRenderedPageBreak/>
        <w:t>Part I: Journal Requirements</w:t>
      </w:r>
    </w:p>
    <w:p w14:paraId="4ED6F1F4" w14:textId="16E33B29" w:rsidR="005150AD" w:rsidRPr="00D43B55" w:rsidRDefault="008A71A0" w:rsidP="005F6E50">
      <w:pPr>
        <w:pStyle w:val="1"/>
        <w:numPr>
          <w:ilvl w:val="0"/>
          <w:numId w:val="7"/>
        </w:numPr>
        <w:spacing w:before="0" w:afterLines="50" w:after="120"/>
        <w:rPr>
          <w:b w:val="0"/>
          <w:bCs w:val="0"/>
          <w:sz w:val="24"/>
          <w:szCs w:val="24"/>
        </w:rPr>
      </w:pPr>
      <w:r>
        <w:rPr>
          <w:b w:val="0"/>
          <w:bCs w:val="0"/>
          <w:color w:val="404040"/>
          <w:sz w:val="24"/>
          <w:szCs w:val="24"/>
        </w:rPr>
        <w:t xml:space="preserve">Please ensure that your manuscript meets PLOS ONE's style requirements, including those for file naming. </w:t>
      </w:r>
    </w:p>
    <w:p w14:paraId="0FE879EE" w14:textId="77777777" w:rsidR="0000067E" w:rsidRPr="00D43B55" w:rsidRDefault="005A5283" w:rsidP="005F6E50">
      <w:pPr>
        <w:spacing w:afterLines="50" w:after="120"/>
        <w:rPr>
          <w:rFonts w:eastAsia="Times New Roman"/>
          <w:sz w:val="24"/>
          <w:szCs w:val="24"/>
        </w:rPr>
      </w:pPr>
      <w:r>
        <w:rPr>
          <w:rFonts w:eastAsia="Times New Roman"/>
          <w:sz w:val="24"/>
          <w:szCs w:val="24"/>
        </w:rPr>
        <w:t xml:space="preserve">Response: </w:t>
      </w:r>
    </w:p>
    <w:p w14:paraId="64D189C2" w14:textId="3BE44C68" w:rsidR="00A01762" w:rsidRPr="00D43B55" w:rsidRDefault="00A01762" w:rsidP="005F6E50">
      <w:pPr>
        <w:spacing w:afterLines="50" w:after="120"/>
        <w:rPr>
          <w:rFonts w:eastAsia="Times New Roman"/>
          <w:color w:val="0070C0"/>
          <w:sz w:val="24"/>
          <w:szCs w:val="24"/>
        </w:rPr>
      </w:pPr>
      <w:r>
        <w:rPr>
          <w:rFonts w:eastAsia="Times New Roman"/>
          <w:color w:val="0070C0"/>
          <w:sz w:val="24"/>
          <w:szCs w:val="24"/>
        </w:rPr>
        <w:t>We reviewed and ensured full compliance with PLOS ONE style requirements, including use of the official LaTeX template (plos2025.bst, Version 3.7), PLOS-compliant figure file naming (Fig1.tif–Fig12.tif), multi-panel figures combined with embedded panel labels, TIFF format at 300 DPI, and proper in-text citation conventions.</w:t>
      </w:r>
    </w:p>
    <w:p w14:paraId="6FA9D54F" w14:textId="77777777" w:rsidR="003E0F2E" w:rsidRPr="00D43B55" w:rsidRDefault="003E0F2E" w:rsidP="005F6E50">
      <w:pPr>
        <w:spacing w:afterLines="50" w:after="120"/>
        <w:rPr>
          <w:rFonts w:eastAsia="Times New Roman"/>
          <w:sz w:val="24"/>
          <w:szCs w:val="24"/>
        </w:rPr>
      </w:pPr>
    </w:p>
    <w:p w14:paraId="4E1A3926" w14:textId="5C16D767" w:rsidR="005150AD" w:rsidRPr="00D43B55" w:rsidRDefault="00167C5F" w:rsidP="005F6E50">
      <w:pPr>
        <w:pStyle w:val="a4"/>
        <w:numPr>
          <w:ilvl w:val="0"/>
          <w:numId w:val="7"/>
        </w:numPr>
        <w:spacing w:afterLines="50" w:after="120"/>
        <w:rPr>
          <w:rFonts w:eastAsia="Times New Roman"/>
          <w:sz w:val="24"/>
          <w:szCs w:val="24"/>
        </w:rPr>
      </w:pPr>
      <w:r>
        <w:rPr>
          <w:rFonts w:eastAsia="Times New Roman"/>
          <w:color w:val="404040"/>
          <w:sz w:val="24"/>
          <w:szCs w:val="24"/>
        </w:rPr>
        <w:t>Please note that PLOS One has specific guidelines on code sharing for submissions in which author-generated code underpins the findings in the manuscript. In these cases, we expect all author-generated code to be made available without restrictions upon publication of the work.</w:t>
      </w:r>
    </w:p>
    <w:p w14:paraId="0E1C41FE" w14:textId="77777777" w:rsidR="0000067E" w:rsidRPr="00D43B55" w:rsidRDefault="004719BC" w:rsidP="005F6E50">
      <w:pPr>
        <w:pStyle w:val="2"/>
        <w:spacing w:before="0" w:afterLines="50" w:after="120"/>
        <w:rPr>
          <w:b w:val="0"/>
          <w:bCs w:val="0"/>
        </w:rPr>
      </w:pPr>
      <w:r>
        <w:rPr>
          <w:b w:val="0"/>
          <w:bCs w:val="0"/>
        </w:rPr>
        <w:t xml:space="preserve">Response: </w:t>
      </w:r>
    </w:p>
    <w:p w14:paraId="7BA41AB8" w14:textId="77777777" w:rsidR="005F6E50" w:rsidRPr="00D43B55" w:rsidRDefault="005F6E50" w:rsidP="005F6E50">
      <w:pPr>
        <w:pStyle w:val="2"/>
        <w:spacing w:before="0" w:afterLines="50" w:after="120"/>
        <w:rPr>
          <w:b w:val="0"/>
          <w:bCs w:val="0"/>
          <w:color w:val="0070C0"/>
        </w:rPr>
      </w:pPr>
      <w:r>
        <w:rPr>
          <w:b w:val="0"/>
          <w:bCs w:val="0"/>
          <w:color w:val="0070C0"/>
        </w:rPr>
        <w:t>All author-generated code is publicly available without restrictions under the MIT License at https://github.com/canslab1/BCAT, including both the original NetLogo model and a Python 3 reimplementation with pre-configured parameter files for reproducing all reported results. We archived the repository on Zenodo (DOI: 10.5281/zenodo.19081523) for long-term accessibility and updated the Data Availability Statement accordingly.</w:t>
      </w:r>
    </w:p>
    <w:p w14:paraId="1C02B122" w14:textId="77777777" w:rsidR="003E0F2E" w:rsidRPr="00D43B55" w:rsidRDefault="003E0F2E" w:rsidP="005F6E50">
      <w:pPr>
        <w:pStyle w:val="2"/>
        <w:spacing w:before="0" w:afterLines="50" w:after="120"/>
        <w:rPr>
          <w:b w:val="0"/>
          <w:bCs w:val="0"/>
        </w:rPr>
      </w:pPr>
    </w:p>
    <w:p w14:paraId="68A11F69" w14:textId="66A5BA08" w:rsidR="005150AD" w:rsidRPr="00D43B55" w:rsidRDefault="0002428D" w:rsidP="005F6E50">
      <w:pPr>
        <w:pStyle w:val="2"/>
        <w:numPr>
          <w:ilvl w:val="0"/>
          <w:numId w:val="7"/>
        </w:numPr>
        <w:spacing w:before="0" w:afterLines="50" w:after="120"/>
        <w:rPr>
          <w:b w:val="0"/>
          <w:bCs w:val="0"/>
        </w:rPr>
      </w:pPr>
      <w:r>
        <w:rPr>
          <w:b w:val="0"/>
          <w:bCs w:val="0"/>
          <w:color w:val="404040"/>
        </w:rPr>
        <w:t>Please update your submission to use the PLOS LaTeX template.</w:t>
      </w:r>
    </w:p>
    <w:p w14:paraId="2E638261" w14:textId="77777777" w:rsidR="0006403B" w:rsidRPr="00D43B55" w:rsidRDefault="0006403B" w:rsidP="005F6E50">
      <w:pPr>
        <w:pStyle w:val="2"/>
        <w:spacing w:before="0" w:afterLines="50" w:after="120"/>
        <w:rPr>
          <w:b w:val="0"/>
          <w:bCs w:val="0"/>
        </w:rPr>
      </w:pPr>
      <w:r>
        <w:rPr>
          <w:b w:val="0"/>
          <w:bCs w:val="0"/>
        </w:rPr>
        <w:t xml:space="preserve">Response: </w:t>
      </w:r>
    </w:p>
    <w:p w14:paraId="78B1F7FD" w14:textId="77777777" w:rsidR="005F6E50" w:rsidRPr="00D43B55" w:rsidRDefault="005F6E50" w:rsidP="005F6E50">
      <w:pPr>
        <w:pStyle w:val="2"/>
        <w:spacing w:before="0" w:afterLines="50" w:after="120"/>
        <w:rPr>
          <w:b w:val="0"/>
          <w:bCs w:val="0"/>
          <w:color w:val="0070C0"/>
        </w:rPr>
      </w:pPr>
      <w:r>
        <w:rPr>
          <w:b w:val="0"/>
          <w:bCs w:val="0"/>
          <w:color w:val="0070C0"/>
        </w:rPr>
        <w:t>Thank you for the guidance. We prepared the manuscript using the official PLOS ONE LaTeX template, including all required formatting elements.</w:t>
      </w:r>
    </w:p>
    <w:p w14:paraId="21AB8ADE" w14:textId="77777777" w:rsidR="003E0F2E" w:rsidRPr="00D43B55" w:rsidRDefault="003E0F2E" w:rsidP="005F6E50">
      <w:pPr>
        <w:pStyle w:val="2"/>
        <w:spacing w:before="0" w:afterLines="50" w:after="120"/>
        <w:rPr>
          <w:b w:val="0"/>
          <w:bCs w:val="0"/>
        </w:rPr>
      </w:pPr>
    </w:p>
    <w:p w14:paraId="217DB0D2" w14:textId="7653DD5F" w:rsidR="005150AD" w:rsidRPr="00D43B55" w:rsidRDefault="001B1A5A" w:rsidP="005F6E50">
      <w:pPr>
        <w:pStyle w:val="2"/>
        <w:numPr>
          <w:ilvl w:val="0"/>
          <w:numId w:val="7"/>
        </w:numPr>
        <w:spacing w:before="0" w:afterLines="50" w:after="120"/>
        <w:rPr>
          <w:b w:val="0"/>
          <w:bCs w:val="0"/>
        </w:rPr>
      </w:pPr>
      <w:r>
        <w:rPr>
          <w:b w:val="0"/>
          <w:bCs w:val="0"/>
          <w:color w:val="404040"/>
        </w:rPr>
        <w:t>Please confirm at this time whether or not your submission contains all raw data required to replicate the results of your study. Authors must share the “minimal data set” for their submission.</w:t>
      </w:r>
    </w:p>
    <w:p w14:paraId="29E1C34B" w14:textId="77777777" w:rsidR="00607937" w:rsidRPr="00D43B55" w:rsidRDefault="00607937" w:rsidP="005F6E50">
      <w:pPr>
        <w:pStyle w:val="2"/>
        <w:spacing w:before="0" w:afterLines="50" w:after="120"/>
        <w:rPr>
          <w:b w:val="0"/>
          <w:bCs w:val="0"/>
        </w:rPr>
      </w:pPr>
      <w:r>
        <w:rPr>
          <w:b w:val="0"/>
          <w:bCs w:val="0"/>
        </w:rPr>
        <w:t xml:space="preserve">Response: </w:t>
      </w:r>
    </w:p>
    <w:p w14:paraId="76FFA2BE" w14:textId="4053FF7B" w:rsidR="005F6E50" w:rsidRPr="00D43B55" w:rsidRDefault="005F6E50" w:rsidP="005F6E50">
      <w:pPr>
        <w:spacing w:afterLines="50" w:after="120"/>
        <w:rPr>
          <w:rFonts w:eastAsia="Times New Roman"/>
          <w:color w:val="0070C0"/>
          <w:sz w:val="24"/>
          <w:szCs w:val="24"/>
        </w:rPr>
      </w:pPr>
      <w:r>
        <w:rPr>
          <w:rFonts w:eastAsia="Times New Roman"/>
          <w:color w:val="0070C0"/>
          <w:sz w:val="24"/>
          <w:szCs w:val="24"/>
        </w:rPr>
        <w:t>We confirm that all data required to replicate our results are publicly available. As a computational simulation study, the minimal dataset consists of: (1) the complete source code and parameter configuration files (GitHub and Zenodo, as noted above), and (2) the raw sensitivity analysis output data underlying Table 3 and Figs 7–9, available in the data/ directory at https://github.com/canslab1/PLOS-BCAT. We updated the Data Availability Statement accordingly.</w:t>
      </w:r>
    </w:p>
    <w:p w14:paraId="597C1FE8" w14:textId="77777777" w:rsidR="003E0F2E" w:rsidRPr="00D43B55" w:rsidRDefault="003E0F2E" w:rsidP="005F6E50">
      <w:pPr>
        <w:spacing w:afterLines="50" w:after="120"/>
        <w:rPr>
          <w:rFonts w:eastAsia="Times New Roman"/>
          <w:sz w:val="24"/>
          <w:szCs w:val="24"/>
        </w:rPr>
      </w:pPr>
    </w:p>
    <w:p w14:paraId="01EB5980" w14:textId="0597633E" w:rsidR="005150AD" w:rsidRPr="00D43B55" w:rsidRDefault="00000000" w:rsidP="005F6E50">
      <w:pPr>
        <w:pStyle w:val="a4"/>
        <w:numPr>
          <w:ilvl w:val="0"/>
          <w:numId w:val="7"/>
        </w:numPr>
        <w:spacing w:afterLines="50" w:after="120"/>
        <w:rPr>
          <w:rFonts w:eastAsia="Times New Roman"/>
          <w:sz w:val="24"/>
          <w:szCs w:val="24"/>
        </w:rPr>
      </w:pPr>
      <w:r>
        <w:rPr>
          <w:rFonts w:eastAsia="Times New Roman"/>
          <w:color w:val="404040"/>
          <w:sz w:val="24"/>
          <w:szCs w:val="24"/>
        </w:rPr>
        <w:t xml:space="preserve">We note that Figures 2, 4, 5, 6, 10 and 11 in your submission contain copyrighted images. We require you to either (1) present written permission from the copyright </w:t>
        <w:lastRenderedPageBreak/>
        <w:t>holder to publish these figures specifically under the CC BY 4.0 license, or (2) remove the figures from your submission.</w:t>
      </w:r>
    </w:p>
    <w:p w14:paraId="0110CF4D" w14:textId="77777777" w:rsidR="002A3058" w:rsidRPr="00D43B55" w:rsidRDefault="002A3058" w:rsidP="005F6E50">
      <w:pPr>
        <w:pStyle w:val="2"/>
        <w:spacing w:before="0" w:afterLines="50" w:after="120"/>
        <w:rPr>
          <w:b w:val="0"/>
          <w:bCs w:val="0"/>
        </w:rPr>
      </w:pPr>
      <w:r>
        <w:rPr>
          <w:b w:val="0"/>
          <w:bCs w:val="0"/>
        </w:rPr>
        <w:t xml:space="preserve">Response: </w:t>
      </w:r>
    </w:p>
    <w:p w14:paraId="40CB826F" w14:textId="09E0E8FE" w:rsidR="003E0F2E" w:rsidRPr="00D43B55" w:rsidRDefault="005F6E50" w:rsidP="003E0F2E">
      <w:pPr>
        <w:spacing w:afterLines="50" w:after="120"/>
        <w:rPr>
          <w:rFonts w:eastAsia="Times New Roman"/>
          <w:b/>
          <w:bCs/>
          <w:sz w:val="28"/>
          <w:szCs w:val="28"/>
        </w:rPr>
      </w:pPr>
      <w:r>
        <w:rPr>
          <w:rFonts w:eastAsia="Times New Roman"/>
          <w:color w:val="0070C0"/>
          <w:sz w:val="24"/>
          <w:szCs w:val="24"/>
        </w:rPr>
        <w:t>We chose option (2). The original figures were screenshots from the NetLogo GUI, which may contain copyrighted visual elements belonging to the NetLogo platform. To resolve this, we re-implemented the BCAT model in Python 3 and regenerated all six figures (Figs 2, 4, 5, 6, 10, 11) using our own visualization code. The revised figures present equivalent simulation results under identical parameter configurations, and all visual elements are entirely our original work. No third-party copyrighted material remains in the manuscript.</w:t>
      </w:r>
      <w:r>
        <w:br w:type="page"/>
      </w:r>
    </w:p>
    <w:p w14:paraId="09E628AB" w14:textId="7CE037D9" w:rsidR="005150AD" w:rsidRPr="00D43B55" w:rsidRDefault="00000000">
      <w:pPr>
        <w:pStyle w:val="1"/>
      </w:pPr>
      <w:r>
        <w:lastRenderedPageBreak/>
        <w:t>Part II: Response to Reviewer #1</w:t>
      </w:r>
    </w:p>
    <w:p w14:paraId="5DB2D4ED" w14:textId="77777777" w:rsidR="005150AD" w:rsidRPr="00D43B55" w:rsidRDefault="00000000">
      <w:pPr>
        <w:spacing w:after="160" w:line="360" w:lineRule="auto"/>
      </w:pPr>
      <w:r>
        <w:rPr>
          <w:rFonts w:eastAsia="Times New Roman"/>
        </w:rPr>
        <w:t>We thank Reviewer #1 for the thoughtful and constructive evaluation. The reviewer’s comments—particularly the identification of two distinct mechanism channels and the call for distinguishing predictions relative to alternative theories—guided substantial theoretical improvements to the manuscript.</w:t>
      </w:r>
    </w:p>
    <w:p w14:paraId="309F79C4" w14:textId="77777777" w:rsidR="005150AD" w:rsidRPr="00D43B55" w:rsidRDefault="00000000">
      <w:pPr>
        <w:pStyle w:val="2"/>
      </w:pPr>
      <w:r>
        <w:t>R1-1. What Makes the Two Models Combine Organically?</w:t>
      </w:r>
    </w:p>
    <w:p w14:paraId="710F1CBB" w14:textId="77777777" w:rsidR="005150AD" w:rsidRPr="00D43B55" w:rsidRDefault="00000000">
      <w:pPr>
        <w:pBdr>
          <w:left w:val="single" w:sz="3" w:space="8" w:color="808080"/>
        </w:pBdr>
        <w:spacing w:after="160" w:line="360" w:lineRule="auto"/>
        <w:ind w:left="480"/>
      </w:pPr>
      <w:r>
        <w:rPr>
          <w:rFonts w:eastAsia="Times New Roman"/>
          <w:i/>
          <w:iCs/>
          <w:color w:val="404040"/>
        </w:rPr>
        <w:t>The paper motivates the BCAT model as a combination of opinion dynamics and adoption thresholds, but the theoretical rationale for why these two components interact in the specific way they do could be articulated more sharply. In particular, the current presentation treats the two components somewhat modularly: agents first update opinions via bounded confidence, then check an adoption threshold. The reader is left to infer the interaction structure from the pseudo-code rather than from a conceptual discussion.</w:t>
      </w:r>
    </w:p>
    <w:p w14:paraId="6BCE2B8A" w14:textId="77777777" w:rsidR="005150AD" w:rsidRPr="00D43B55" w:rsidRDefault="00000000">
      <w:pPr>
        <w:pBdr>
          <w:left w:val="single" w:sz="3" w:space="8" w:color="808080"/>
        </w:pBdr>
        <w:spacing w:after="160" w:line="360" w:lineRule="auto"/>
        <w:ind w:left="480"/>
      </w:pPr>
      <w:r>
        <w:rPr>
          <w:rFonts w:eastAsia="Times New Roman"/>
          <w:i/>
          <w:iCs/>
          <w:color w:val="404040"/>
        </w:rPr>
        <w:t>It would strengthen the paper to discuss explicitly: (a) what features of bounded confidence opinion dynamics—as opposed to, say, DeGroot-style averaging or voter model dynamics—make it a natural complement to threshold-based adoption, and (b) what structural properties of the combined model are not present in either component alone.</w:t>
      </w:r>
    </w:p>
    <w:p w14:paraId="5F6945D7" w14:textId="77777777" w:rsidR="005150AD" w:rsidRPr="00D43B55" w:rsidRDefault="00000000">
      <w:pPr>
        <w:spacing w:after="160" w:line="360" w:lineRule="auto"/>
      </w:pPr>
      <w:r>
        <w:rPr>
          <w:rFonts w:eastAsia="Times New Roman"/>
        </w:rPr>
        <w:t>We agree that the original manuscript presented the two model components too modularly, leaving the reader to infer their interaction logic from the pseudocode. In the revised manuscript, we added two new paragraphs—one at the end of the Related Models section and one in the Emergent Properties of the Combined Model subsection within the Simulation Model Specifications section—that explain the conceptual logic underlying the coupling of bounded confidence opinion dynamics with adoption thresholds.</w:t>
      </w:r>
    </w:p>
    <w:p w14:paraId="64A93AEB" w14:textId="77777777" w:rsidR="005150AD" w:rsidRPr="00D43B55" w:rsidRDefault="00000000">
      <w:pPr>
        <w:spacing w:after="160" w:line="360" w:lineRule="auto"/>
      </w:pPr>
      <w:r>
        <w:rPr>
          <w:rFonts w:eastAsia="Times New Roman"/>
        </w:rPr>
        <w:t xml:space="preserve">Regarding point (a), we now discuss why bounded confidence—rather than DeGroot-style averaging or voter model dynamics—is the natural complement to threshold-based adoption. DeGroot-style averaging models (Golub &amp; Jackson, 2010, 2012; Cheng et al., 2026) assume that all agents accept influence from all neighbors, leading to guaranteed convergence toward consensus under mild connectivity conditions. This property makes the DeGroot framework ill-suited for studying the “best game no one played” phenomenon, because it cannot generate opinion fragmentation—a key mechanism through which positive average sentiment may coexist with insufficient local support for adoption. Voter model dynamics are discrete and memoryless (each agent randomly copies a neighbor’s binary state) and cannot capture the gradual, continuous nature of attitude evolution that characterizes real consumer sentiment formation. </w:t>
        <w:lastRenderedPageBreak/>
        <w:t>Bounded confidence occupies a unique position: by restricting opinion exchange to pairs whose attitudes fall within a tolerance threshold, it naturally generates both consensus (when the confidence bound is large) and fragmentation into multiple clusters (when the bound is small). This dual capacity makes bounded confidence a suitable partner for the adoption threshold mechanism, because fragmentation creates the possibility that average attitudes are positive yet local neighborhoods lack sufficient positive-attitude agents to trigger adoption cascades.</w:t>
      </w:r>
    </w:p>
    <w:p w14:paraId="4B464634" w14:textId="77777777" w:rsidR="005150AD" w:rsidRPr="00D43B55" w:rsidRDefault="00000000">
      <w:pPr>
        <w:spacing w:after="160" w:line="360" w:lineRule="auto"/>
      </w:pPr>
      <w:r>
        <w:rPr>
          <w:rFonts w:eastAsia="Times New Roman"/>
        </w:rPr>
        <w:t>Regarding point (b), we now identify emergent properties of the combined model that neither component produces alone. The most important is the</w:t>
      </w:r>
      <w:r>
        <w:rPr>
          <w:rFonts w:eastAsia="Times New Roman"/>
          <w:b/>
          <w:bCs/>
        </w:rPr>
        <w:t>bidirectional feedback loop between adoption status and opinion exchange</w:t>
      </w:r>
      <w:r>
        <w:rPr>
          <w:rFonts w:eastAsia="Times New Roman"/>
        </w:rPr>
        <w:t>. In the BCAT model, opinion exchange rules depend on the adoption statuses of both interacting agents: when one agent has adopted and the other has not, the exchange follows asymmetric persuasion logic (the adopted agent exerts stronger influence); when both have adopted, attitudes converge toward the more positive pole; when neither has adopted, standard bidirectional convergence applies. The adoption decision—ostensibly a downstream consequence of opinion formation—thus feeds back into the opinion dynamics process, creating a coupled dynamical system whose behavior cannot be predicted from either component in isolation. For instance, early adoption by a few agents can create localized pockets of reinforced positive attitudes that may or may not propagate outward, depending on network structure and threshold distribution.</w:t>
      </w:r>
    </w:p>
    <w:p w14:paraId="620003E4"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changes: </w:t>
      </w:r>
      <w:r>
        <w:rPr>
          <w:rFonts w:eastAsia="Times New Roman"/>
        </w:rPr>
        <w:t>Two new paragraphs have been added to the manuscript. (1) At the end of the Related Models section, a paragraph now explicitly argues why bounded confidence—rather than DeGroot-style averaging (Golub &amp; Jackson, 2010, 2012; Cheng et al., 2026) or voter model dynamics—is the theoretically necessary complement to threshold-based adoption, on the grounds that only bounded confidence can sustain persistent opinion fragmentation as a long-run equilibrium property, thereby generating the endogenous pre-filter on adoption eligibility that produces the opinion–adoption gap. (2) In the Emergent Properties of the Combined Model subsection within the Simulation Model Specifications section, two paragraphs identify two emergent structural properties unique to the combined BCAT framework: a dual-filter mechanism captured by the inequality 0 ≤ GSI ≤ FRI ≤ 1, and an adoption-to-opinion feedback loop in which adopted agents selectively reshape opinion trajectories among bounded-confidence-reachable neighbors (Algorithm 3, Scenarios 1.1 and 2.2). References to Golub &amp; Jackson (2010, 2012), Cheng et al. (2026), and McPherson et al. (2001) have been added.</w:t>
      </w:r>
    </w:p>
    <w:p w14:paraId="35A23B37" w14:textId="77777777" w:rsidR="005150AD" w:rsidRPr="00D43B55" w:rsidRDefault="005150AD">
      <w:pPr>
        <w:pBdr>
          <w:bottom w:val="single" w:sz="1" w:space="0" w:color="CCCCCC"/>
        </w:pBdr>
        <w:spacing w:before="120" w:after="120"/>
      </w:pPr>
    </w:p>
    <w:p w14:paraId="2BC66A59" w14:textId="77777777" w:rsidR="005150AD" w:rsidRPr="00D43B55" w:rsidRDefault="00000000">
      <w:pPr>
        <w:pStyle w:val="2"/>
      </w:pPr>
      <w:r>
        <w:lastRenderedPageBreak/>
        <w:t>R1-2. The Wedge Between Opinion and Adoption: Key Mechanisms</w:t>
      </w:r>
    </w:p>
    <w:p w14:paraId="75EAA91A" w14:textId="77777777" w:rsidR="005150AD" w:rsidRPr="00D43B55" w:rsidRDefault="00000000">
      <w:pPr>
        <w:pBdr>
          <w:left w:val="single" w:sz="3" w:space="8" w:color="808080"/>
        </w:pBdr>
        <w:spacing w:after="160" w:line="360" w:lineRule="auto"/>
        <w:ind w:left="480"/>
      </w:pPr>
      <w:r>
        <w:rPr>
          <w:rFonts w:eastAsia="Times New Roman"/>
          <w:i/>
          <w:iCs/>
          <w:color w:val="404040"/>
        </w:rPr>
        <w:t>The most interesting aspect of the paper is the divergence between opinion dynamics and adoption behavior. From the current model, I can identify at least two distinct channels. The first is a coordination failure channel: even when all agents hold positive attitudes, adoption requires a critical mass of neighbors to have already adopted, and this critical mass may fail to materialize if early adopters are too dispersed across the network. The second is an opinion clustering channel: bounded confidence can partition the population into opinion clusters, some of which settle below the positive-attitude threshold. It would be valuable for the authors to disentangle these channels more carefully.</w:t>
      </w:r>
    </w:p>
    <w:p w14:paraId="4666434E" w14:textId="77777777" w:rsidR="005150AD" w:rsidRPr="00D43B55" w:rsidRDefault="00000000">
      <w:pPr>
        <w:spacing w:after="160" w:line="360" w:lineRule="auto"/>
      </w:pPr>
      <w:r>
        <w:rPr>
          <w:rFonts w:eastAsia="Times New Roman"/>
        </w:rPr>
        <w:t>We appreciate the identification of these two distinct mechanism channels. We agree that disentangling their respective contributions deepens the paper’s theoretical contribution. Following this suggestion, we designed three controlled mechanism decomposition experiments (MD-A, MD-B, MD-C) within the BCAT simulation framework, using parameter configurations that selectively disable one channel while preserving the other. We report results in a new subsection titled “Mechanism decomposition: Coordination failure versus opinion clustering” and an accompanying new figure (Fig 10).</w:t>
      </w:r>
    </w:p>
    <w:p w14:paraId="5C30E0B9" w14:textId="77777777" w:rsidR="005150AD" w:rsidRPr="00D43B55" w:rsidRDefault="00000000">
      <w:pPr>
        <w:spacing w:after="160" w:line="360" w:lineRule="auto"/>
      </w:pPr>
      <w:r>
        <w:rPr>
          <w:rFonts w:eastAsia="Times New Roman"/>
          <w:b/>
          <w:bCs/>
        </w:rPr>
        <w:t xml:space="preserve">Experiment MD-A (Coordination Failure Isolated). </w:t>
      </w:r>
      <w:r>
        <w:rPr>
          <w:rFonts w:eastAsia="Times New Roman"/>
        </w:rPr>
        <w:t>We disabled opinion dynamics while ensuring universal positive attitudes by setting avg-of-attitudes = 80 with std-of-attitudes = 0, yielding att = 81 &gt; 50 for all non-pioneer agents, and bounded-confidence = 10 (the slider minimum). The attitude distance between pioneers (att = 100) and non-pioneers (att = 81) equals 19, which exceeds the communication threshold, so no opinion exchange occurs. FRI = 1.0 is guaranteed throughout. We swept avg-of-thresholds from 10 to 70, with 1,000 runs per point on both regular lattice and small-world (p = 0.10) topologies.</w:t>
      </w:r>
    </w:p>
    <w:p w14:paraId="5A2A0DCB" w14:textId="77777777" w:rsidR="005150AD" w:rsidRPr="00D43B55" w:rsidRDefault="00000000">
      <w:pPr>
        <w:spacing w:after="160" w:line="360" w:lineRule="auto"/>
      </w:pPr>
      <w:r>
        <w:rPr>
          <w:rFonts w:eastAsia="Times New Roman"/>
          <w:b/>
          <w:bCs/>
        </w:rPr>
        <w:t xml:space="preserve">Experiment MD-B (Opinion Clustering Isolated). </w:t>
      </w:r>
      <w:r>
        <w:rPr>
          <w:rFonts w:eastAsia="Times New Roman"/>
        </w:rPr>
        <w:t>We set no-of-pioneers = 0, eliminating all adoption seeds. GSI remains at zero throughout, so opinion dynamics operates in complete isolation from adoption feedback. We used avg-of-attitudes = 50, std-of-attitudes = 15, and bounded-confidence = 50, with 1,000 runs. The key outcome is FRI at t = 300, which measures the fraction of agents retaining positive attitudes after opinion clustering reaches steady state.</w:t>
      </w:r>
    </w:p>
    <w:p w14:paraId="1A6016DD" w14:textId="77777777" w:rsidR="005150AD" w:rsidRPr="00D43B55" w:rsidRDefault="00000000">
      <w:pPr>
        <w:spacing w:after="160" w:line="360" w:lineRule="auto"/>
      </w:pPr>
      <w:r>
        <w:rPr>
          <w:rFonts w:eastAsia="Times New Roman"/>
        </w:rPr>
        <w:t xml:space="preserve">Experiment MD-C (Full BCAT Baseline). We ran the full model with MD-B’s opinion parameters plus no-of-pioneers = 5, sweeping avg-of-thresholds from 10 to 70. Results (30,000 total simulation runs, 1,000 per configuration): MD-A reveals a sharp phase transition in coordination dynamics between avg-of-thresholds = 30 (GSI = 0.976) and 40 (GSI = 0.026) on </w:t>
        <w:lastRenderedPageBreak/>
        <w:t>the regular lattice; at high thresholds (40–70), only the five pioneers adopt (GSI ≈ 0.013). MD-B shows that opinion clustering alone reduces FRI to 0.600 (lattice) and 0.618 (small-world)—a 40% contraction. The striking MD-C finding is that FRI recovers to approximately 1.0 across all threshold values, because the user-friendly testimony effect (Algorithm 3, Scenarios 1.1 and 2.2) pulls bounded-confidence-reachable neighbors above the attitude threshold. The opinion clustering contribution (1 − FRI) to the total gap is therefore negligible in the full model, and the coordination failure channel (FRI − GSI) dominates the gap. This reveals that the testimony effect acts as an endogenous corrective mechanism that counteracts opinion clustering—but only when the adoption cascade propagates.</w:t>
      </w:r>
    </w:p>
    <w:p w14:paraId="7359E842"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changes: </w:t>
      </w:r>
      <w:r>
        <w:rPr>
          <w:rFonts w:eastAsia="Times New Roman"/>
        </w:rPr>
        <w:t>A new subsection “Mechanism decomposition: Coordination failure versus opinion clustering” has been added to the Results section, reporting three controlled experiments (MD-A, MD-B, MD-C; 30,000 total runs across regular lattice and small-world topologies). Key findings: (1) MD-A reveals a phase transition in coordination failure between avg-of-thresholds = 30 (GSI = 0.976) and 40 (GSI = 0.026); (2) MD-B shows opinion clustering alone reduces FRI to 0.600; (3) MD-C demonstrates that the testimony effect recovers FRI to ≈1.0, making coordination failure the dominant channel. A new Fig 10 presents the two-panel decomposition. A new paragraph in the Discussion interprets the intervention implications of the two channels.</w:t>
      </w:r>
    </w:p>
    <w:p w14:paraId="5B303339" w14:textId="77777777" w:rsidR="005150AD" w:rsidRPr="00D43B55" w:rsidRDefault="005150AD">
      <w:pPr>
        <w:pBdr>
          <w:bottom w:val="single" w:sz="1" w:space="0" w:color="CCCCCC"/>
        </w:pBdr>
        <w:spacing w:before="120" w:after="120"/>
      </w:pPr>
    </w:p>
    <w:p w14:paraId="6329E64D" w14:textId="77777777" w:rsidR="005150AD" w:rsidRPr="00D43B55" w:rsidRDefault="00000000">
      <w:pPr>
        <w:pStyle w:val="2"/>
      </w:pPr>
      <w:r>
        <w:t>R1-3. Empirical Grounding</w:t>
      </w:r>
    </w:p>
    <w:p w14:paraId="5974F495" w14:textId="77777777" w:rsidR="005150AD" w:rsidRPr="00D43B55" w:rsidRDefault="00000000">
      <w:pPr>
        <w:pBdr>
          <w:left w:val="single" w:sz="3" w:space="8" w:color="808080"/>
        </w:pBdr>
        <w:spacing w:after="160" w:line="360" w:lineRule="auto"/>
        <w:ind w:left="480"/>
      </w:pPr>
      <w:r>
        <w:rPr>
          <w:rFonts w:eastAsia="Times New Roman"/>
          <w:i/>
          <w:iCs/>
          <w:color w:val="404040"/>
        </w:rPr>
        <w:t>The paper’s motivating examples—the Palm handheld, a Taiwanese film, and service-oriented architecture—are mentioned briefly in the introduction but not revisited. Given that the opinion–adoption wedge is the paper’s central phenomenon, the empirical case for its relevance deserves fuller development.</w:t>
      </w:r>
    </w:p>
    <w:p w14:paraId="76D7E572" w14:textId="77777777" w:rsidR="005150AD" w:rsidRPr="00D43B55" w:rsidRDefault="00000000">
      <w:pPr>
        <w:spacing w:after="160" w:line="360" w:lineRule="auto"/>
      </w:pPr>
      <w:r>
        <w:rPr>
          <w:rFonts w:eastAsia="Times New Roman"/>
        </w:rPr>
        <w:t>We agree that the motivating cases deserved deeper treatment. In the revised manuscript, we insertedcase-specific interpretive paragraphs into the Discussion section, positioned after the parametric discussion most relevant to each case. Each paragraph maps the historically documented features of the case onto BCAT model parameters and simulation outcomes. We do not claim formal calibration but ground the theoretical interpretation in the known empirical characteristics of each example. No new simulations were required; these additions are interpretive elaborations based on existing sensitivity analysis results.</w:t>
      </w:r>
    </w:p>
    <w:p w14:paraId="538A4724" w14:textId="77777777" w:rsidR="005150AD" w:rsidRPr="00D43B55" w:rsidRDefault="00000000">
      <w:pPr>
        <w:spacing w:after="160" w:line="360" w:lineRule="auto"/>
      </w:pPr>
      <w:r>
        <w:rPr>
          <w:rFonts w:eastAsia="Times New Roman"/>
        </w:rPr>
        <w:t xml:space="preserve">We discuss the Palm case after the avg-of-thresholds paragraph: mainstream consumers required </w:t>
        <w:lastRenderedPageBreak/>
        <w:t>visible evidence of widespread peer adoption before committing to an unfamiliar device, corresponding to high avg-of-thresholds on a regular lattice where localized interactions prevented inter-neighborhood cascading. As illustrated in Fig 5, this configuration produces steadily rising FRI alongside near-zero GSI—precisely the Palm scenario.</w:t>
      </w:r>
    </w:p>
    <w:p w14:paraId="7AD80C50" w14:textId="77777777" w:rsidR="005150AD" w:rsidRPr="00D43B55" w:rsidRDefault="00000000">
      <w:pPr>
        <w:spacing w:after="160" w:line="360" w:lineRule="auto"/>
      </w:pPr>
      <w:r>
        <w:rPr>
          <w:rFonts w:eastAsia="Times New Roman"/>
        </w:rPr>
        <w:t>We discuss the Taiwanese film case after the avg-of-attitudes paragraph: the cinephile community held strongly positive attitudes, but the general audience’s baseline predisposition toward dark Taiwanese drama was low (low avg-of-attitudes), and the attitude gap between the two communities exceeded the bounded confidence threshold, preventing opinion propagation. As shown in Fig 8c–d, low avg-of-attitudes produces a plateau in adoption outcomes insensitive to other parameter variation.</w:t>
      </w:r>
    </w:p>
    <w:p w14:paraId="4D5D49E7" w14:textId="77777777" w:rsidR="005150AD" w:rsidRPr="00D43B55" w:rsidRDefault="00000000">
      <w:pPr>
        <w:spacing w:after="160" w:line="360" w:lineRule="auto"/>
      </w:pPr>
      <w:r>
        <w:rPr>
          <w:rFonts w:eastAsia="Times New Roman"/>
        </w:rPr>
        <w:t>We discuss the SOA case after the bounded-confidence paragraph: the primary barrier was the inability of technical architects to communicate across the professional vocabulary gap separating them from enterprise decision-makers—a textbook bounded-confidence clustering failure. As shown in Fig 8a–b, low bounded-confidence severely limits cross-cluster influence. The 2008 financial crisis then functioned as an exogenous negative shock to avg-of-attitudes. We added a reference to Erl (2005) for scholarly grounding.</w:t>
      </w:r>
    </w:p>
    <w:p w14:paraId="0EE9120A" w14:textId="77777777" w:rsidR="005150AD" w:rsidRPr="00D43B55" w:rsidRDefault="00000000">
      <w:pPr>
        <w:spacing w:after="160" w:line="360" w:lineRule="auto"/>
      </w:pPr>
      <w:r>
        <w:rPr>
          <w:rFonts w:eastAsia="Times New Roman"/>
        </w:rPr>
        <w:t>We emphasize that these mappings are qualitative and interpretive: the BCAT model’s abstract 1–100 attitude scale cannot be directly calibrated to real-world consumer data. The model’s value lies in capturing structural mechanisms rather than providing quantitative predictions for any specific product or market.</w:t>
      </w:r>
    </w:p>
    <w:p w14:paraId="1E65CB6C"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changes: </w:t>
      </w:r>
      <w:r>
        <w:rPr>
          <w:rFonts w:eastAsia="Times New Roman"/>
        </w:rPr>
        <w:t>Three case-specific interpretive paragraphs have been inserted into the Discussion section, each positioned after the parametric discussion most relevant to the case: (1) Palm handheld after the avg-of-thresholds paragraph, mapping the coordination failure on regular lattice topology to Fig 5; (2) The Bold, The Corrupt and The Beautiful after the avg-of-attitudes paragraph, mapping the attitude baseline gap to the adoption plateau in Fig 8c–d; (3) SOA after the bounded-confidence paragraph, mapping the professional vocabulary gap to bounded-confidence clustering failure in Fig 8a–b, with the 2008 crisis as an exogenous avg-of-attitudes shock. A reference to Erl (2005) has been added for scholarly grounding of the SOA case.</w:t>
      </w:r>
    </w:p>
    <w:p w14:paraId="4239B425" w14:textId="77777777" w:rsidR="005150AD" w:rsidRPr="00D43B55" w:rsidRDefault="005150AD">
      <w:pPr>
        <w:pBdr>
          <w:bottom w:val="single" w:sz="1" w:space="0" w:color="CCCCCC"/>
        </w:pBdr>
        <w:spacing w:before="120" w:after="120"/>
      </w:pPr>
    </w:p>
    <w:p w14:paraId="3AC0B4FA" w14:textId="77777777" w:rsidR="005150AD" w:rsidRPr="00D43B55" w:rsidRDefault="00000000">
      <w:pPr>
        <w:pStyle w:val="2"/>
      </w:pPr>
      <w:r>
        <w:t>R1-4. Alternative Theories and Distinguishing Predictions</w:t>
      </w:r>
    </w:p>
    <w:p w14:paraId="0DEBA3E1" w14:textId="77777777" w:rsidR="005150AD" w:rsidRPr="00D43B55" w:rsidRDefault="00000000">
      <w:pPr>
        <w:pBdr>
          <w:left w:val="single" w:sz="3" w:space="8" w:color="808080"/>
        </w:pBdr>
        <w:spacing w:after="160" w:line="360" w:lineRule="auto"/>
        <w:ind w:left="480"/>
      </w:pPr>
      <w:r>
        <w:rPr>
          <w:rFonts w:eastAsia="Times New Roman"/>
          <w:i/>
          <w:iCs/>
          <w:color w:val="404040"/>
        </w:rPr>
        <w:lastRenderedPageBreak/>
        <w:t>Other theories can also account for the opinion–adoption gap: rational herding and information cascades (Banerjee 1992), network externalities and coordination games (Katz and Shapiro 1985), and global games with heterogeneous thresholds (Morris and Shin 2003). Each mechanism implies different comparative statics. Discussing these distinctions, and suggesting how experiments or empirical tests might discriminate between them, would significantly enhance the paper’s contribution.</w:t>
      </w:r>
    </w:p>
    <w:p w14:paraId="23FAA60A" w14:textId="77777777" w:rsidR="005150AD" w:rsidRPr="00D43B55" w:rsidRDefault="00000000">
      <w:pPr>
        <w:spacing w:after="160" w:line="360" w:lineRule="auto"/>
      </w:pPr>
      <w:r>
        <w:rPr>
          <w:rFonts w:eastAsia="Times New Roman"/>
        </w:rPr>
        <w:t>This suggestion substantially sharpens the paper’s theoretical positioning. We added a dedicated set of paragraphs to the Discussion section, positioned after the mechanism decomposition discussion and before the parameter-specific strategy recommendations, that systematically compares the BCAT model with the three alternative frameworks identified by the reviewer and articulates the structural differences in mechanism, comparative statics, and empirical identifiability.</w:t>
      </w:r>
    </w:p>
    <w:p w14:paraId="61C0830E" w14:textId="77777777" w:rsidR="005150AD" w:rsidRPr="00D43B55" w:rsidRDefault="00000000">
      <w:pPr>
        <w:spacing w:after="160" w:line="360" w:lineRule="auto"/>
      </w:pPr>
      <w:r>
        <w:rPr>
          <w:rFonts w:eastAsia="Times New Roman"/>
          <w:b/>
          <w:bCs/>
        </w:rPr>
        <w:t xml:space="preserve">Information Cascades (Banerjee, 1992). </w:t>
      </w:r>
      <w:r>
        <w:rPr>
          <w:rFonts w:eastAsia="Times New Roman"/>
        </w:rPr>
        <w:t>In Banerjee’s model, agents observe the sequential actions of predecessors and rationally update beliefs, potentially leading to herding behavior where private information is discarded in favor of following the crowd. The key distinction from BCAT is that information cascade models involve no opinion exchange—agents strategically delay or imitate rather than communicate and update attitudes. Information cascades can therefore produce widespread adoption even when private attitudes are not uniformly positive (herding overrides private information), whereas the BCAT model strictly requires positive attitudes as a necessary condition for adoption. This generates a testable prediction: if empirical data show products adopted en masse despite mixed private sentiments (measurable through anonymous surveys), the information cascade model would be supported over BCAT.</w:t>
      </w:r>
    </w:p>
    <w:p w14:paraId="31709D7C" w14:textId="77777777" w:rsidR="005150AD" w:rsidRPr="00D43B55" w:rsidRDefault="00000000">
      <w:pPr>
        <w:spacing w:after="160" w:line="360" w:lineRule="auto"/>
      </w:pPr>
      <w:r>
        <w:rPr>
          <w:rFonts w:eastAsia="Times New Roman"/>
          <w:b/>
          <w:bCs/>
        </w:rPr>
        <w:t xml:space="preserve">Network Externalities and Coordination Games (Katz &amp; Shapiro, 1985). </w:t>
      </w:r>
      <w:r>
        <w:rPr>
          <w:rFonts w:eastAsia="Times New Roman"/>
        </w:rPr>
        <w:t>In this framework, adoption failure arises from installed-base dependence: the utility of adopting increases with the number of existing adopters, creating a coordination problem independent of opinion dynamics. The distinguishing comparative static concerns network topology: the BCAT model predicts a larger opinion–adoption gap in highly clustered networks (e.g., small-world) because localized clustering traps adoption cascades within communities, whereas coordination games predict a larger gap in sparser networks because coordination is more difficult when agents have fewer connections and less information about aggregate adoption levels.</w:t>
      </w:r>
    </w:p>
    <w:p w14:paraId="48565904" w14:textId="77777777" w:rsidR="005150AD" w:rsidRPr="00D43B55" w:rsidRDefault="00000000">
      <w:pPr>
        <w:spacing w:after="160" w:line="360" w:lineRule="auto"/>
      </w:pPr>
      <w:r>
        <w:rPr>
          <w:rFonts w:eastAsia="Times New Roman"/>
          <w:b/>
          <w:bCs/>
        </w:rPr>
        <w:t xml:space="preserve">Global Games (Morris &amp; Shin, 2003). </w:t>
      </w:r>
      <w:r>
        <w:rPr>
          <w:rFonts w:eastAsia="Times New Roman"/>
        </w:rPr>
        <w:t xml:space="preserve">In the global games framework, coordination failure arises from higher-order belief uncertainty: even when all agents hold favorable attitudes, </w:t>
        <w:lastRenderedPageBreak/>
        <w:t>uncertainty about whether others also hold favorable attitudes (and whether others know that others do) can prevent coordinated action. The critical distinction from BCAT is that global games are inherently static—they do not model the temporal evolution of attitudes. BCAT, by contrast, can explain time-dependent phenomena such as attitudes that converge favorably in the early period but fragment later, leading to adoption failure—a dynamic pattern that the static global games framework cannot generate.</w:t>
      </w:r>
    </w:p>
    <w:p w14:paraId="33A1C66C" w14:textId="77777777" w:rsidR="005150AD" w:rsidRPr="00D43B55" w:rsidRDefault="00000000">
      <w:pPr>
        <w:spacing w:after="160" w:line="360" w:lineRule="auto"/>
      </w:pPr>
      <w:r>
        <w:rPr>
          <w:rFonts w:eastAsia="Times New Roman"/>
        </w:rPr>
        <w:t>We conclude the new subsection by discussing how future empirical research could discriminate among these theories. Time-series attitude data (e.g., from social media sentiment analysis) would provide a natural testing ground, as only the BCAT model generates detailed predictions about the temporal trajectory of attitude evolution prior to adoption outcomes.</w:t>
      </w:r>
    </w:p>
    <w:p w14:paraId="6045DA26"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changes: </w:t>
      </w:r>
      <w:r>
        <w:rPr>
          <w:rFonts w:eastAsia="Times New Roman"/>
        </w:rPr>
        <w:t>Six new paragraphs have been added to the Discussion section comparing BCAT with three alternative frameworks. Key distinguishing predictions: (1) vs. Banerjee (1992): BCAT produces S-curve adoption (Figs 4, 6a) rather than step-function cascades, and social influence operates through attitude transmission rather than Bayesian inference; (2) vs. Katz &amp; Shapiro (1985): BCAT predicts larger adoption gaps in clustered networks (supported by Table 3 Feature Importance data), opposite to the coordination game prediction; (3) vs. Morris &amp; Shin (2003): BCAT contains no higher-order belief mechanism—when FRI = 1.0 and thresholds are low, adoption necessarily occurs (confirmed by MD-A experiments). References to Banerjee (1992), Katz &amp; Shapiro (1985), and Morris &amp; Shin (2003) have been added.</w:t>
      </w:r>
    </w:p>
    <w:p w14:paraId="72CED77E" w14:textId="77777777" w:rsidR="005150AD" w:rsidRPr="00D43B55" w:rsidRDefault="005150AD">
      <w:pPr>
        <w:pBdr>
          <w:bottom w:val="single" w:sz="1" w:space="0" w:color="CCCCCC"/>
        </w:pBdr>
        <w:spacing w:before="120" w:after="120"/>
      </w:pPr>
    </w:p>
    <w:p w14:paraId="042DE800" w14:textId="77777777" w:rsidR="005150AD" w:rsidRPr="00D43B55" w:rsidRDefault="00000000">
      <w:pPr>
        <w:pStyle w:val="2"/>
      </w:pPr>
      <w:r>
        <w:t>R1-Minor. Reference Error: Gong et al. (2020)</w:t>
      </w:r>
    </w:p>
    <w:p w14:paraId="7029F8C7" w14:textId="77777777" w:rsidR="005150AD" w:rsidRPr="00D43B55" w:rsidRDefault="00000000">
      <w:pPr>
        <w:pBdr>
          <w:left w:val="single" w:sz="3" w:space="8" w:color="808080"/>
        </w:pBdr>
        <w:spacing w:after="160" w:line="360" w:lineRule="auto"/>
        <w:ind w:left="480"/>
      </w:pPr>
      <w:r>
        <w:rPr>
          <w:rFonts w:eastAsia="Times New Roman"/>
          <w:i/>
          <w:iCs/>
          <w:color w:val="404040"/>
        </w:rPr>
        <w:t>The Gong et al. (2020) reference contains what appears to be a corrupted title: “Hence, the source code used for this project may require significant modification to be applied to new studies.”</w:t>
      </w:r>
    </w:p>
    <w:p w14:paraId="1539CDA7" w14:textId="77777777" w:rsidR="005150AD" w:rsidRPr="00D43B55" w:rsidRDefault="00000000">
      <w:pPr>
        <w:spacing w:after="160" w:line="360" w:lineRule="auto"/>
      </w:pPr>
      <w:r>
        <w:rPr>
          <w:rFonts w:eastAsia="Times New Roman"/>
        </w:rPr>
        <w:t>We thank the reviewer for catching this error. We confirmed that the text “Hence, the source code used for this project may require significant modification to be applied to new studies” is a technical annotation from the BCAT simulation codebase that was inadvertently introduced into the title field during manuscript preparation. This is a field contamination error, not an incorrect citation. The correct title is “A loud but harsh voice: The impact of celebrity endorsement on online WOM,” published in Journal of Management Science (</w:t>
      </w:r>
      <w:r>
        <w:rPr>
          <w:rFonts w:ascii="新細明體" w:eastAsia="新細明體" w:hAnsi="新細明體" w:cs="新細明體" w:hint="eastAsia"/>
        </w:rPr>
        <w:t>管理科学</w:t>
      </w:r>
      <w:r>
        <w:rPr>
          <w:rFonts w:eastAsia="Times New Roman"/>
        </w:rPr>
        <w:t xml:space="preserve">), 2020, volume 33, issue 2, pages 114–126. We corrected this in the revised manuscript and conducted a systematic review </w:t>
        <w:lastRenderedPageBreak/>
        <w:t>of all remaining reference entries, confirming that the error is isolated to this single entry.</w:t>
      </w:r>
    </w:p>
    <w:p w14:paraId="65932DBF"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w:t>
      </w:r>
      <w:r>
        <w:rPr>
          <w:rFonts w:eastAsia="Times New Roman"/>
        </w:rPr>
        <w:t>The reference entry for Gong et al. (2020) has been corrected with the verified title and complete bibliographic information in the References section.</w:t>
      </w:r>
    </w:p>
    <w:p w14:paraId="5A4EED6C" w14:textId="77777777" w:rsidR="005150AD" w:rsidRPr="00D43B55" w:rsidRDefault="00000000">
      <w:r>
        <w:br w:type="page"/>
      </w:r>
    </w:p>
    <w:p w14:paraId="20F73DCD" w14:textId="77777777" w:rsidR="005150AD" w:rsidRPr="00D43B55" w:rsidRDefault="00000000">
      <w:pPr>
        <w:pStyle w:val="1"/>
      </w:pPr>
      <w:r>
        <w:lastRenderedPageBreak/>
        <w:t>Part III: Response to Reviewer #2</w:t>
      </w:r>
    </w:p>
    <w:p w14:paraId="480A94B9" w14:textId="77777777" w:rsidR="005150AD" w:rsidRPr="00D43B55" w:rsidRDefault="00000000">
      <w:pPr>
        <w:spacing w:after="160" w:line="360" w:lineRule="auto"/>
      </w:pPr>
      <w:r>
        <w:rPr>
          <w:rFonts w:eastAsia="Times New Roman"/>
        </w:rPr>
        <w:t>We thank Reviewer #2 for the rigorous and technically detailed evaluation. The reviewer’s identification of the discrepancy between our theoretical framing and simulation implementation, and the call for finite-size scaling analysis, led to significant methodological improvements.</w:t>
      </w:r>
    </w:p>
    <w:p w14:paraId="58F86056" w14:textId="77777777" w:rsidR="005150AD" w:rsidRPr="00D43B55" w:rsidRDefault="00000000">
      <w:pPr>
        <w:pStyle w:val="2"/>
      </w:pPr>
      <w:r>
        <w:t>R2-1. Discrepancy Between Deffuant Model and Simulation Implementation</w:t>
      </w:r>
    </w:p>
    <w:p w14:paraId="4B94A8FF" w14:textId="77777777" w:rsidR="005150AD" w:rsidRPr="00D43B55" w:rsidRDefault="00000000">
      <w:pPr>
        <w:pBdr>
          <w:left w:val="single" w:sz="3" w:space="8" w:color="808080"/>
        </w:pBdr>
        <w:spacing w:after="160" w:line="360" w:lineRule="auto"/>
        <w:ind w:left="480"/>
      </w:pPr>
      <w:r>
        <w:rPr>
          <w:rFonts w:eastAsia="Times New Roman"/>
          <w:i/>
          <w:iCs/>
          <w:color w:val="404040"/>
        </w:rPr>
        <w:t>There is a fundamental discrepancy between the mathematical definitions and the simulation implementation. The authors cite the Deffuant et al. (2002) model, which is defined on a continuous opinion space with time-varying uncertainty. However, the BCAT implementation uses integer attitudes (1, 100) and a fixed bounded-confidence parameter. Methodologically, this makes the implementation a version of the HK (Hegselmann-Krause) model. The authors must reconcile the theoretical framing in Section 2 with the actual simulation.</w:t>
      </w:r>
    </w:p>
    <w:p w14:paraId="21240BBD" w14:textId="77777777" w:rsidR="005150AD" w:rsidRPr="00D43B55" w:rsidRDefault="00000000">
      <w:pPr>
        <w:spacing w:after="160" w:line="360" w:lineRule="auto"/>
      </w:pPr>
      <w:r>
        <w:rPr>
          <w:rFonts w:eastAsia="Times New Roman"/>
        </w:rPr>
        <w:t>We thank the reviewer for this technically precise observation. We address it in two parts.</w:t>
      </w:r>
    </w:p>
    <w:p w14:paraId="7EE327F9" w14:textId="77777777" w:rsidR="005150AD" w:rsidRPr="00D43B55" w:rsidRDefault="00000000">
      <w:pPr>
        <w:spacing w:after="160" w:line="360" w:lineRule="auto"/>
      </w:pPr>
      <w:r>
        <w:rPr>
          <w:rFonts w:eastAsia="Times New Roman"/>
        </w:rPr>
        <w:t>Part 1: The integer attitude scale is a deliberate and mathematically equivalent discretization. The integer scale [1, 100] is a uniform discretization of the continuous interval [0, 1] into 100 equally spaced levels, where each integer unit corresponds to an interval of 0.01. The bounded confidence parameter max-opinion-distance follows the same convention: a value of 40 corresponds to a confidence threshold of ε = 0.40 in the standard literature. We made this design choice to facilitate sensitivity analysis and to align the attitude scale with survey-style measurement instruments. We added a note in the Simulation Model Specifications section stating this equivalence.</w:t>
      </w:r>
    </w:p>
    <w:p w14:paraId="6B81853F" w14:textId="77777777" w:rsidR="005150AD" w:rsidRPr="00D43B55" w:rsidRDefault="00000000">
      <w:pPr>
        <w:spacing w:after="160" w:line="360" w:lineRule="auto"/>
      </w:pPr>
      <w:r>
        <w:rPr>
          <w:rFonts w:eastAsia="Times New Roman"/>
          <w:b/>
          <w:bCs/>
        </w:rPr>
        <w:t xml:space="preserve">Part 2: The opinion update mechanism corresponds to the simple bounded confidence Deffuant model, not the Relative Agreement variant. </w:t>
      </w:r>
      <w:r>
        <w:rPr>
          <w:rFonts w:eastAsia="Times New Roman"/>
        </w:rPr>
        <w:t xml:space="preserve">The reviewer’s deeper observation concerns the relationship between the mathematical description in the Related Models section and the actual update mechanism in Algorithm 3. Section 2 of the original manuscript introduces the Deffuant et al. (2002) Relative Agreement (RA) model, which features agent-specific, time-varying uncertainty parameters and computes attitude adjustments as a function of confidence interval overlap (Equations 1 and 2). However, the BCAT opinion update procedure implements the rule att_new = round(C + μ × (B − C)), where μ is the fixed convergence-rate parameter. This rule does not involve any uncertainty parameter, does not compute confidence interval overlap, and does not update any agent-specific confidence bound. It is structurally equivalent to the </w:t>
        <w:lastRenderedPageBreak/>
        <w:t>simple Deffuant bounded confidence model (Deffuant et al., 2000)—specifically, the pairwise random interaction variant in which two agents adjust their opinions by a fixed fraction μ of their difference, provided the difference falls below a global fixed threshold ε.</w:t>
      </w:r>
    </w:p>
    <w:p w14:paraId="62E1C396" w14:textId="77777777" w:rsidR="005150AD" w:rsidRPr="00D43B55" w:rsidRDefault="00000000">
      <w:pPr>
        <w:spacing w:after="160" w:line="360" w:lineRule="auto"/>
      </w:pPr>
      <w:r>
        <w:rPr>
          <w:rFonts w:eastAsia="Times New Roman"/>
          <w:b/>
          <w:bCs/>
        </w:rPr>
        <w:t xml:space="preserve">Manuscript changes: </w:t>
      </w:r>
      <w:r>
        <w:rPr>
          <w:rFonts w:eastAsia="Times New Roman"/>
        </w:rPr>
        <w:t>We revised Section 2 accordingly. We retained the description of the RA model and its equations as literature context, but added a disambiguation sentence stating that the BCAT model does not implement the full RA update rule. A new paragraph positions the BCAT opinion update mechanism as a networked, discretized, adoption-status-conditioned extension of the simple Deffuant bounded confidence model (Deffuant et al., 2000). A new comparative table (Table 1) summarizes the structural relationships among the HKmodel, the Deffuant RA model, and the BCAT opinion component across eight dimensions. We rewrote the Algorithm 3 description in the Simulation Model Specifications section to specify the fixed-rate convergence rule, the ε = max-opinion-distance/100 equivalence, and the absence of any agent-specific uncertainty parameter. Table 2 now includes a note on the integer-to-continuous mapping. These clarifications affect the theoretical positioning of the model but do not require any changes to the simulation itself.</w:t>
      </w:r>
    </w:p>
    <w:p w14:paraId="6169ABFE" w14:textId="12517D4E" w:rsidR="005150AD" w:rsidRPr="00D43B55" w:rsidRDefault="00000000">
      <w:pPr>
        <w:spacing w:after="160" w:line="360" w:lineRule="auto"/>
      </w:pPr>
      <w:r>
        <w:rPr>
          <w:rFonts w:eastAsia="Times New Roman"/>
          <w:b/>
          <w:bCs/>
        </w:rPr>
        <w:t xml:space="preserve">We emphasize </w:t>
      </w:r>
      <w:r>
        <w:rPr>
          <w:rFonts w:eastAsia="Times New Roman"/>
        </w:rPr>
        <w:t>that these clarifications affect the model’s theoretical positioning but do not require any changes to the simulation itself. The BCAT model’s scientific contribution lies in integrating a bounded confidence opinion dynamics mechanism with adoption threshold diffusion, and in the adoption-status-conditioned feedback structure that generates the opinion–adoption gap. The revised framing makes this contribution more precise rather than diminishing it. We added a reference to the original simple Deffuant bounded confidence model (Deffuant et al., 2000).</w:t>
      </w:r>
    </w:p>
    <w:p w14:paraId="2DF8280F"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(revised Section 2, paragraphs on Deffuant model): </w:t>
      </w:r>
      <w:r>
        <w:rPr>
          <w:rFonts w:eastAsia="Times New Roman"/>
        </w:rPr>
        <w:t>(1) A disambiguation sentence has been added after Equations 1 and 2, explicitly stating that the BCAT model does not implement the full RA update rule. (2) A new paragraph at the end of the Related Models section positions the BCAT opinion component as a networked, discretized, adoption-status-conditioned extension of the simple Deffuant bounded confidence model (Deffuant et al., 2000), with a fixed global ε = max-opinion-distance/100. (3) The Algorithm 3 description in the Simulation Model Specifications section has been rewritten to specify the fixed-rate convergence rule att_new = round(C + μ × (B − C)), the ε equivalence, and the absence of dynamic uncertainty parameters. (4) Table 2 now includes a note on the integer-to-continuous mapping for attitude values.</w:t>
      </w:r>
    </w:p>
    <w:p w14:paraId="242599CC" w14:textId="77777777" w:rsidR="005150AD" w:rsidRPr="00D43B55" w:rsidRDefault="00000000">
      <w:pPr>
        <w:pBdr>
          <w:left w:val="single" w:sz="3" w:space="8" w:color="2E75B6"/>
        </w:pBdr>
        <w:spacing w:after="160" w:line="360" w:lineRule="auto"/>
        <w:ind w:left="480"/>
      </w:pPr>
      <w:r>
        <w:rPr>
          <w:rFonts w:eastAsia="Times New Roman"/>
          <w:b/>
          <w:bCs/>
          <w:color w:val="2E75B6"/>
        </w:rPr>
        <w:lastRenderedPageBreak/>
        <w:t>Manuscript change (new Table 1):</w:t>
      </w:r>
      <w:r>
        <w:rPr>
          <w:rFonts w:eastAsia="Times New Roman"/>
        </w:rPr>
        <w:t>A comparative table (Table 1) has been added at the end of the Related Models section, with columns for Model Feature, HK Model, Deffuant RA Model, and BCAT Opinion Component, covering eight dimensions: Interaction structure, Confidence threshold, Opinion space, Update timing, Uncertainty dynamics, Convergence parameter, Network structure, and Adoption-status conditioning.</w:t>
      </w:r>
    </w:p>
    <w:p w14:paraId="5189F27D" w14:textId="77777777" w:rsidR="005150AD" w:rsidRPr="00D43B55" w:rsidRDefault="005150AD">
      <w:pPr>
        <w:pBdr>
          <w:bottom w:val="single" w:sz="1" w:space="0" w:color="CCCCCC"/>
        </w:pBdr>
        <w:spacing w:before="120" w:after="120"/>
      </w:pPr>
    </w:p>
    <w:p w14:paraId="342874E9" w14:textId="77777777" w:rsidR="005150AD" w:rsidRPr="00D43B55" w:rsidRDefault="00000000">
      <w:pPr>
        <w:pStyle w:val="2"/>
      </w:pPr>
      <w:r>
        <w:t>R2-2. Update Scheme: Synchronous vs. Asynchronous</w:t>
      </w:r>
    </w:p>
    <w:p w14:paraId="0F19DDC6" w14:textId="77777777" w:rsidR="005150AD" w:rsidRPr="00D43B55" w:rsidRDefault="00000000">
      <w:pPr>
        <w:pBdr>
          <w:left w:val="single" w:sz="3" w:space="8" w:color="808080"/>
        </w:pBdr>
        <w:spacing w:after="160" w:line="360" w:lineRule="auto"/>
        <w:ind w:left="480"/>
      </w:pPr>
      <w:r>
        <w:rPr>
          <w:rFonts w:eastAsia="Times New Roman"/>
          <w:i/>
          <w:iCs/>
          <w:color w:val="404040"/>
        </w:rPr>
        <w:t>The manuscript leaves the update scheme ambiguous. Algorithm 3 suggests that at each tick, agents interact with one randomly chosen neighbor (asynchronous/sequential update). However, the overall simulation structure does not clarify if the adoption state is updated synchronously. Given that update order qualitatively affects convergence in opinion dynamics (cf. Berenbrink et al., 2024), the authors must explicitly define and justify the choice of synchronous vs. asynchronous updating.</w:t>
      </w:r>
    </w:p>
    <w:p w14:paraId="6E5DA136" w14:textId="77777777" w:rsidR="005150AD" w:rsidRPr="00D43B55" w:rsidRDefault="00000000">
      <w:pPr>
        <w:spacing w:after="160" w:line="360" w:lineRule="auto"/>
      </w:pPr>
      <w:r>
        <w:rPr>
          <w:rFonts w:eastAsia="Times New Roman"/>
        </w:rPr>
        <w:t>We thank the reviewer for raising this methodological point. The BCAT model uses a pseudo-concurrent update scheme, implemented via the ask-concurrent command in NetLogo 4.0.5. Under ask-concurrent, all agents are processed in a randomly shuffled order within each tick, and each agent’s state modifications take effect immediately. The Python 3 reimplementation faithfully reproduces this behavior. This scheme lies between strictly synchronous updating (where all agents read old states before any writes occur) and strictly sequential updating with a fixed order (where position in the queue systematically advantages certain agents).</w:t>
      </w:r>
    </w:p>
    <w:p w14:paraId="18FE7BDF" w14:textId="77777777" w:rsidR="005150AD" w:rsidRPr="00D43B55" w:rsidRDefault="00000000">
      <w:pPr>
        <w:spacing w:after="160" w:line="360" w:lineRule="auto"/>
      </w:pPr>
      <w:r>
        <w:rPr>
          <w:rFonts w:eastAsia="Times New Roman"/>
        </w:rPr>
        <w:t>We chose this scheme because the random reshuffling of execution order at each tick ensures that no agent systematically benefits from its position in the processing sequence. The randomness in the simulation therefore comes from four well-defined stochastic elements: (1) the random selection of a neighbor for each agent per tick, (2) the initial random assignment of attitude and threshold values, (3) the random or clustered placement of pioneer agents, and (4) the random execution order within each tick. Because each source is controlled and reproducible given a fixed random seed, the sensitivity analysis results in Table 3 reflect model parameter effects rather than systematic scheduling artifacts.</w:t>
      </w:r>
    </w:p>
    <w:p w14:paraId="75E2D92C"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(Section 3, Algorithm 3 description): </w:t>
      </w:r>
      <w:r>
        <w:rPr>
          <w:rFonts w:eastAsia="Times New Roman"/>
        </w:rPr>
        <w:t xml:space="preserve">Two new paragraphs have been added to the Simulation Model Specifications section, immediately following the adoption decision-making description. The first paragraph explains the pseudo-concurrent update semantics of ask-concurrent (random-order sequential execution with immediate writes) and </w:t>
        <w:lastRenderedPageBreak/>
        <w:t>confirms that the Python 3 reimplementation faithfully reproduces this behavior. The second paragraph states the methodological rationale: random reshuffling of execution order at each tick prevents systematic scheduling bias, and identifies four controlled stochastic elements ensuring that sensitivity analysis results in Table 3 reflect model parameter effects.</w:t>
      </w:r>
    </w:p>
    <w:p w14:paraId="1AB271E9"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 </w:t>
      </w:r>
    </w:p>
    <w:p w14:paraId="4AC8B41D" w14:textId="77777777" w:rsidR="005150AD" w:rsidRPr="00D43B55" w:rsidRDefault="005150AD">
      <w:pPr>
        <w:pBdr>
          <w:bottom w:val="single" w:sz="1" w:space="0" w:color="CCCCCC"/>
        </w:pBdr>
        <w:spacing w:before="120" w:after="120"/>
      </w:pPr>
    </w:p>
    <w:p w14:paraId="10B2866B" w14:textId="77777777" w:rsidR="005150AD" w:rsidRPr="00D43B55" w:rsidRDefault="00000000">
      <w:pPr>
        <w:pStyle w:val="2"/>
      </w:pPr>
      <w:r>
        <w:t>R2-3. Adoption Threshold Scaling (0–100 vs. 0–1)</w:t>
      </w:r>
    </w:p>
    <w:p w14:paraId="2BDB6E18" w14:textId="77777777" w:rsidR="005150AD" w:rsidRPr="00D43B55" w:rsidRDefault="00000000">
      <w:pPr>
        <w:pBdr>
          <w:left w:val="single" w:sz="3" w:space="8" w:color="808080"/>
        </w:pBdr>
        <w:spacing w:after="160" w:line="360" w:lineRule="auto"/>
        <w:ind w:left="480"/>
      </w:pPr>
      <w:r>
        <w:rPr>
          <w:rFonts w:eastAsia="Times New Roman"/>
          <w:i/>
          <w:iCs/>
          <w:color w:val="404040"/>
        </w:rPr>
        <w:t>In Algorithm 3, the adoption threshold is treated as a percentage (0–100). In the standard diffusion literature (e.g., Watts 2004, Valente 1996), the threshold is strictly a fraction in (0–1). While not a fatal error, this non-standard scaling complicates comparisons with existing literature and makes the interpretation of Table 3 potentially misleading.</w:t>
      </w:r>
    </w:p>
    <w:p w14:paraId="1C1B638A" w14:textId="77777777" w:rsidR="005150AD" w:rsidRPr="00D43B55" w:rsidRDefault="00000000">
      <w:pPr>
        <w:spacing w:after="160" w:line="360" w:lineRule="auto"/>
      </w:pPr>
      <w:r>
        <w:rPr>
          <w:rFonts w:eastAsia="Times New Roman"/>
        </w:rPr>
        <w:t>We thank the reviewer for this observation, which is well-founded from a reporting transparency standpoint. As clarified in our response to R2-1, the integer scale [1, 100] used throughout the BCAT model is a uniform 100-level discretization of the continuous interval [0, 1], where each integer unit corresponds to an interval of 0.01. This scaling convention applies uniformly to both attitude values and adoption thresholds. An avg-of-thresholds value of 40, for instance, represents a mean adoption threshold of θ = 0.40 in the fractional notation standard in the diffusion literature (Watts, 2004; Valente, 1996), meaning that an agent adopts only when the proportion of its neighbors who have already adopted meets or exceeds 40%. The adoption decision rule of Algorithm 3 enforces this equivalence by computing the neighbor adoption proportion (a value in [0, 1]) and comparing it against theta/100. The two sides of the inequality therefore operate on identical scales, and the model’s mathematical behavior is exactly equivalent to a formulation using fractional thresholds in [0.01, 1.00].</w:t>
      </w:r>
    </w:p>
    <w:p w14:paraId="61C67049" w14:textId="77777777" w:rsidR="005150AD" w:rsidRPr="00D43B55" w:rsidRDefault="00000000">
      <w:pPr>
        <w:spacing w:after="160" w:line="360" w:lineRule="auto"/>
      </w:pPr>
      <w:r>
        <w:rPr>
          <w:rFonts w:eastAsia="Times New Roman"/>
        </w:rPr>
        <w:t>We acknowledge that the original manuscript did not make this scaling equivalence explicit. In the revised manuscript, we added a clarifying statement in the Table 2 parameter description for avg-of-thresholds and std-of-thresholds, and appended a footnote to Table 3 providing the fractional equivalents for the threshold parameter values used in the sensitivity analysis. No changes to the simulation code or model behavior are required.</w:t>
      </w:r>
    </w:p>
    <w:p w14:paraId="14CE817B"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(Section 3, threshold definition): </w:t>
      </w:r>
      <w:r>
        <w:rPr>
          <w:rFonts w:eastAsia="Times New Roman"/>
        </w:rPr>
        <w:t xml:space="preserve">The Table 2 description for avg-of-thresholds and std-of-thresholds now states: “Threshold values follow the same [1, 100] ≡ [0.01, 1.00] discretization convention as attitude values: in the adoption decision rule </w:t>
        <w:lastRenderedPageBreak/>
        <w:t>(Algorithm 3), the integer threshold is divided by 100 before comparison with the neighbor adoption proportion, yielding fractional thresholds consistent with the standard convention in the diffusion literature (Watts, 2004; Valente, 1996). For example, avg-of-thresholds = 40 corresponds to a mean fractional threshold of θ = 0.40, requiring at least 40% of an agent’s neighbors to have adopted before the agent itself adopts.”</w:t>
      </w:r>
    </w:p>
    <w:p w14:paraId="514A00CF" w14:textId="77777777" w:rsidR="005150AD" w:rsidRPr="00D43B55" w:rsidRDefault="00000000">
      <w:pPr>
        <w:pBdr>
          <w:left w:val="single" w:sz="3" w:space="8" w:color="2E75B6"/>
        </w:pBdr>
        <w:spacing w:after="160" w:line="360" w:lineRule="auto"/>
        <w:ind w:left="480"/>
      </w:pPr>
      <w:r>
        <w:rPr>
          <w:rFonts w:eastAsia="Times New Roman"/>
          <w:b/>
          <w:bCs/>
          <w:color w:val="2E75B6"/>
        </w:rPr>
        <w:t>Manuscript change (Table 3):</w:t>
      </w:r>
      <w:r>
        <w:rPr>
          <w:rFonts w:eastAsia="Times New Roman"/>
        </w:rPr>
        <w:t>A footnote has been added to Table 3 stating: “All avg-of-thresholds values are stored as integers in [1, 100] and are equivalent to fractional adoption thresholds in [0.01, 1.00] via the conversion θ = avg-of-thresholds/100, as implemented in the adoption decision rule of Algorithm 3. The sensitivity analysis sweeps avg-of-thresholds across the range [10, 70], corresponding to fractional thresholds of [0.10, 0.70].”</w:t>
      </w:r>
    </w:p>
    <w:p w14:paraId="1F0DD6B9" w14:textId="77777777" w:rsidR="005150AD" w:rsidRPr="00D43B55" w:rsidRDefault="005150AD">
      <w:pPr>
        <w:pBdr>
          <w:bottom w:val="single" w:sz="1" w:space="0" w:color="CCCCCC"/>
        </w:pBdr>
        <w:spacing w:before="120" w:after="120"/>
      </w:pPr>
    </w:p>
    <w:p w14:paraId="70F342A8" w14:textId="77777777" w:rsidR="005150AD" w:rsidRPr="00D43B55" w:rsidRDefault="00000000">
      <w:pPr>
        <w:pStyle w:val="2"/>
      </w:pPr>
      <w:r>
        <w:t>R2-4. Incomplete Statistical Reporting in Table 3</w:t>
      </w:r>
    </w:p>
    <w:p w14:paraId="3F5123DD" w14:textId="77777777" w:rsidR="005150AD" w:rsidRPr="00D43B55" w:rsidRDefault="00000000">
      <w:pPr>
        <w:pBdr>
          <w:left w:val="single" w:sz="3" w:space="8" w:color="808080"/>
        </w:pBdr>
        <w:spacing w:after="160" w:line="360" w:lineRule="auto"/>
        <w:ind w:left="480"/>
      </w:pPr>
      <w:r>
        <w:rPr>
          <w:rFonts w:eastAsia="Times New Roman"/>
          <w:i/>
          <w:iCs/>
          <w:color w:val="404040"/>
        </w:rPr>
        <w:t>The reporting in Table 3 remains incomplete: (a) The specific feature importance algorithm is never identified. (b) Table 3 provides point estimates only; the authors must include standard errors or confidence intervals. (c) There appears to be a permutation error in the “All” row; values seem misaligned with individual network columns.</w:t>
      </w:r>
    </w:p>
    <w:p w14:paraId="26D9A071" w14:textId="77777777" w:rsidR="005150AD" w:rsidRPr="00D43B55" w:rsidRDefault="00000000">
      <w:pPr>
        <w:spacing w:after="160" w:line="360" w:lineRule="auto"/>
      </w:pPr>
      <w:r>
        <w:rPr>
          <w:rFonts w:eastAsia="Times New Roman"/>
          <w:b/>
          <w:bCs/>
        </w:rPr>
        <w:t xml:space="preserve">(a) Algorithm identification. </w:t>
      </w:r>
      <w:r>
        <w:rPr>
          <w:rFonts w:eastAsia="Times New Roman"/>
        </w:rPr>
        <w:t>We apologize for this omission. We computed the feature importance values using a Random Forest regression ensemble with 100 trees and the mean decrease in impurity (Gini importance) criterion, with all other hyperparameters at their default values. We added this information to the Sensitivity Analysis subsection of the Results section.</w:t>
      </w:r>
    </w:p>
    <w:p w14:paraId="05ECC9A6" w14:textId="77777777" w:rsidR="005150AD" w:rsidRPr="00D43B55" w:rsidRDefault="00000000">
      <w:pPr>
        <w:spacing w:after="160" w:line="360" w:lineRule="auto"/>
      </w:pPr>
      <w:r>
        <w:rPr>
          <w:rFonts w:eastAsia="Times New Roman"/>
          <w:b/>
          <w:bCs/>
        </w:rPr>
        <w:t xml:space="preserve">(b) Uncertainty reporting. </w:t>
      </w:r>
      <w:r>
        <w:rPr>
          <w:rFonts w:eastAsia="Times New Roman"/>
        </w:rPr>
        <w:t>We revised Table 3 to include standard errors for the Random Forest feature importance values, computed as the standard deviation of per-tree importance values across the 100-tree ensemble divided by √100. All SE values are ≤ 0.001 (rounding to 0.00 at two decimal places), reflecting the high stability of importance estimates over the large sample sizes used (N = 15,876 to 100,548). For the remaining four methods—multivariate regression, partial correlation, standardized regression, and parameter importance (Pearson correlation)—the reported values are deterministic analytical results given the input data, so standard errors are not applicable. A footnote in Table 3 clarifies this distinction.</w:t>
      </w:r>
    </w:p>
    <w:p w14:paraId="68009A6D" w14:textId="77777777" w:rsidR="005150AD" w:rsidRPr="00D43B55" w:rsidRDefault="00000000">
      <w:pPr>
        <w:spacing w:after="160" w:line="360" w:lineRule="auto"/>
      </w:pPr>
      <w:r>
        <w:rPr>
          <w:rFonts w:eastAsia="Times New Roman"/>
          <w:b/>
          <w:bCs/>
        </w:rPr>
        <w:t xml:space="preserve">(c) Data alignment verification. </w:t>
      </w:r>
      <w:r>
        <w:rPr>
          <w:rFonts w:eastAsia="Times New Roman"/>
        </w:rPr>
        <w:t xml:space="preserve">Following the reviewer’s prompt, we conducted a systematic audit of all values in Table 3 and discovered that the Parameter Importance section contained a copy-paste error: the values were inadvertently duplicated from the Standardized Regression </w:t>
        <w:lastRenderedPageBreak/>
        <w:t>section with rows and columns transposed. We corrected this error. The Parameter Importance rows now report Pearson correlation coefficients between each parameter and the adoption outcome variable, computed directly from the sensitivity analysis data. We also verified that the “All” row values across all five analysis methods are consistent with the aggregated dataset (N = 100,548 observations across four network topologies). We sincerely apologize for this error in the original submission. We also added a footnote to Table 3 explaining why the corrected Parameter Importance values closely approximate the Standardized Regression coefficients: because the five input parameters are varied independently in the sensitivity analysis design, the predictors are approximately orthogonal, and the two measures are mathematically equivalent under this condition.</w:t>
      </w:r>
    </w:p>
    <w:p w14:paraId="7A313F7B" w14:textId="77777777" w:rsidR="005150AD" w:rsidRPr="00D43B55" w:rsidRDefault="00000000">
      <w:pPr>
        <w:pBdr>
          <w:left w:val="single" w:sz="3" w:space="8" w:color="2E75B6"/>
        </w:pBdr>
        <w:spacing w:after="160" w:line="360" w:lineRule="auto"/>
        <w:ind w:left="480"/>
      </w:pPr>
      <w:r>
        <w:rPr>
          <w:rFonts w:eastAsia="Times New Roman"/>
          <w:b/>
          <w:bCs/>
          <w:color w:val="2E75B6"/>
        </w:rPr>
        <w:t>Manuscript change (Sensitivity Analysis text):</w:t>
      </w:r>
      <w:r>
        <w:rPr>
          <w:rFonts w:eastAsia="Times New Roman"/>
        </w:rPr>
        <w:t>A sentence has been added identifying the five statistical methods used, including: “Feature importance from a Random Forest regression ensemble (100 trees, mean decrease in impurity criterion, default hyperparameters).”</w:t>
      </w:r>
    </w:p>
    <w:p w14:paraId="4E5D4380" w14:textId="77777777" w:rsidR="005150AD" w:rsidRPr="00D43B55" w:rsidRDefault="00000000">
      <w:pPr>
        <w:pBdr>
          <w:left w:val="single" w:sz="3" w:space="8" w:color="2E75B6"/>
        </w:pBdr>
        <w:spacing w:after="160" w:line="360" w:lineRule="auto"/>
        <w:ind w:left="480"/>
      </w:pPr>
      <w:r>
        <w:rPr>
          <w:rFonts w:eastAsia="Times New Roman"/>
          <w:b/>
          <w:bCs/>
          <w:color w:val="2E75B6"/>
        </w:rPr>
        <w:t>Manuscript change (Table 3):</w:t>
      </w:r>
      <w:r>
        <w:rPr>
          <w:rFonts w:eastAsia="Times New Roman"/>
        </w:rPr>
        <w:t>Feature Importance values now include ±SE. The Parameter Importance section has been corrected with verified Pearson correlation values. A footnote explains that SE is computed from per-tree importances (all SE ≤ 0.001), and that the remaining four methods produce deterministic analytical results.</w:t>
      </w:r>
    </w:p>
    <w:p w14:paraId="6AF35C0A" w14:textId="77777777" w:rsidR="005150AD" w:rsidRPr="00D43B55" w:rsidRDefault="005150AD">
      <w:pPr>
        <w:pBdr>
          <w:bottom w:val="single" w:sz="1" w:space="0" w:color="CCCCCC"/>
        </w:pBdr>
        <w:spacing w:before="120" w:after="120"/>
      </w:pPr>
    </w:p>
    <w:p w14:paraId="151EE3F8" w14:textId="77777777" w:rsidR="005150AD" w:rsidRPr="00D43B55" w:rsidRDefault="00000000">
      <w:pPr>
        <w:pStyle w:val="2"/>
      </w:pPr>
      <w:r>
        <w:t>R2-5. Finite-Size Scaling Analysis</w:t>
      </w:r>
    </w:p>
    <w:p w14:paraId="5D1C7024" w14:textId="77777777" w:rsidR="005150AD" w:rsidRPr="00D43B55" w:rsidRDefault="00000000">
      <w:pPr>
        <w:pBdr>
          <w:left w:val="single" w:sz="3" w:space="8" w:color="808080"/>
        </w:pBdr>
        <w:spacing w:after="160" w:line="360" w:lineRule="auto"/>
        <w:ind w:left="480"/>
      </w:pPr>
      <w:r>
        <w:rPr>
          <w:rFonts w:eastAsia="Times New Roman"/>
          <w:i/>
          <w:iCs/>
          <w:color w:val="404040"/>
        </w:rPr>
        <w:t>The model runs with a fixed size of N=400 agents, which is a very small sample, especially in the analysis of cascades and phase transitions. To ensure that the observed “Best Game No One Played” phenomenon is a robust collective behavior and not a stochastic artifact of a small system, the authors should provide a finite-size scaling analysis (e.g., testing N=1000, 5000).</w:t>
      </w:r>
    </w:p>
    <w:p w14:paraId="2707071F" w14:textId="77777777" w:rsidR="005150AD" w:rsidRPr="00D43B55" w:rsidRDefault="00000000">
      <w:pPr>
        <w:spacing w:after="160" w:line="360" w:lineRule="auto"/>
      </w:pPr>
      <w:r>
        <w:rPr>
          <w:rFonts w:eastAsia="Times New Roman"/>
        </w:rPr>
        <w:t xml:space="preserve">We agree that establishing robustness with respect to system size is important. We conducted finite-size scaling experiments at N=400 (20×20), N=900 (30×30), N=1,600 (40×40), and N=2,500 (50×50), using identical parameter configurations (avg-of-attitudes=50, std-of-attitudes=15, bounded-confidence=50, avg-of-thresholds swept from 10 to 70, 30 replications per configuration). The results confirm that the “best game no one played” phenomenon—high FRI coexisting with near-zero GSI—persists at all system sizes tested, confirming that the observed adoption failure is a robust collective behavior rather than a stochastic artifact of the N=400 </w:t>
        <w:lastRenderedPageBreak/>
        <w:t>baseline. The sharp phase transition at avg-of-thresholds between 30 and 40, and the dominance of avg-of-thresholds as the primary determinant of adoption outcomes, hold across all system sizes. We added a note at the end of the sensitivity analysis subsection in Results, and the experimental data are available in the public repository.</w:t>
      </w:r>
    </w:p>
    <w:p w14:paraId="53A8F545" w14:textId="77777777" w:rsidR="005150AD" w:rsidRPr="00D43B55" w:rsidRDefault="005150AD">
      <w:pPr>
        <w:spacing w:after="160" w:line="360" w:lineRule="auto"/>
      </w:pPr>
    </w:p>
    <w:p w14:paraId="13D63D13" w14:textId="77777777" w:rsidR="005150AD" w:rsidRPr="00D43B55" w:rsidRDefault="005150AD">
      <w:pPr>
        <w:spacing w:after="160" w:line="360" w:lineRule="auto"/>
      </w:pPr>
    </w:p>
    <w:p w14:paraId="1CF1AFB0"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w:t>
      </w:r>
      <w:r>
        <w:rPr>
          <w:rFonts w:eastAsia="Times New Roman"/>
        </w:rPr>
        <w:t>A sentence has been added at the end of the sensitivity analysis subsection in the Results section, noting that finite-size scaling experiments at N=900, N=1,600, and N=2,500 confirmed the robustness of all qualitative phenomena, including the opinion–adoption gap, the phase transition at intermediate thresholds, and the dominance of avg-of-thresholds. The raw scaling data are deposited in the public repository.</w:t>
      </w:r>
    </w:p>
    <w:p w14:paraId="7EEDA5BC" w14:textId="77777777" w:rsidR="005150AD" w:rsidRPr="00D43B55" w:rsidRDefault="005150AD">
      <w:pPr>
        <w:pBdr>
          <w:bottom w:val="single" w:sz="1" w:space="0" w:color="CCCCCC"/>
        </w:pBdr>
        <w:spacing w:before="120" w:after="120"/>
      </w:pPr>
    </w:p>
    <w:p w14:paraId="7DFC2357" w14:textId="77777777" w:rsidR="005150AD" w:rsidRPr="00D43B55" w:rsidRDefault="00000000">
      <w:pPr>
        <w:pStyle w:val="2"/>
      </w:pPr>
      <w:r>
        <w:t>R2-6. Operational Definition of Critical Mass</w:t>
      </w:r>
    </w:p>
    <w:p w14:paraId="4CE4BF29" w14:textId="77777777" w:rsidR="005150AD" w:rsidRPr="00D43B55" w:rsidRDefault="00000000">
      <w:pPr>
        <w:pBdr>
          <w:left w:val="single" w:sz="3" w:space="8" w:color="808080"/>
        </w:pBdr>
        <w:spacing w:after="160" w:line="360" w:lineRule="auto"/>
        <w:ind w:left="480"/>
      </w:pPr>
      <w:r>
        <w:rPr>
          <w:rFonts w:eastAsia="Times New Roman"/>
          <w:i/>
          <w:iCs/>
          <w:color w:val="404040"/>
        </w:rPr>
        <w:t>The authors frequently invoke “Critical Mass” (e.g., citing a value of 48 agents in Fig 6a) but fail to provide an operational definition within the model’s formal structure. It is unclear if these values are analytically derived or post hoc observations. The authors should define how “Critical Mass” is computed within the BCAT framework and whether it represents a first or second order phase transition in the adoption density.</w:t>
      </w:r>
    </w:p>
    <w:p w14:paraId="7E8659CA" w14:textId="77777777" w:rsidR="005150AD" w:rsidRPr="00D43B55" w:rsidRDefault="00000000">
      <w:pPr>
        <w:spacing w:after="160" w:line="360" w:lineRule="auto"/>
      </w:pPr>
      <w:r>
        <w:rPr>
          <w:rFonts w:eastAsia="Times New Roman"/>
        </w:rPr>
        <w:t>We thank the reviewer for this observation. We clarify the distinct roles of two terms used in the manuscript. The term “critical mass” is used descriptively, following Oliver et al. (1985), to refer to the minimum number of early adopters sufficient to initiate a self-sustaining adoption cascade. The numerical values cited in Figs. 4 and 6a—17 and 46 adopting agents—are informal observations from individual simulation runs and are not recorded by the simulation as measured quantities. They serve as illustrative descriptions of the cascade dynamics observed in those runs.</w:t>
      </w:r>
    </w:p>
    <w:p w14:paraId="032F88AE" w14:textId="77777777" w:rsidR="005150AD" w:rsidRPr="00D43B55" w:rsidRDefault="00000000">
      <w:pPr>
        <w:spacing w:after="160" w:line="360" w:lineRule="auto"/>
      </w:pPr>
      <w:r>
        <w:rPr>
          <w:rFonts w:eastAsia="Times New Roman"/>
        </w:rPr>
        <w:t>The term “critical point,” by contrast, has a precise operational definition within the BCAT framework and is directly recorded by the simulation. We define the critical point (t*) as the first time step at which GSI exceeds 0.5—that is, the first t at which adopters form a strict majority. The simulation computes and displays this value in real time, and records it in the output of each run. When t* is never reached, it is recorded as zero, indicating that the adoption process failed to achieve majority diffusion. We added an explicit definition of the critical point to the Results section of the revised manuscript.</w:t>
      </w:r>
    </w:p>
    <w:p w14:paraId="519B3D12" w14:textId="77777777" w:rsidR="005150AD" w:rsidRPr="00D43B55" w:rsidRDefault="00000000">
      <w:pPr>
        <w:spacing w:after="160" w:line="360" w:lineRule="auto"/>
      </w:pPr>
      <w:r>
        <w:rPr>
          <w:rFonts w:eastAsia="Times New Roman"/>
        </w:rPr>
        <w:lastRenderedPageBreak/>
        <w:t>Regarding the phase transition characterization, the mechanism decomposition experiments (described in our response to R1-2) document a sharp transition in GSI between avg-of-thresholds = 30 and 40, and the finite-size scaling experiments (R2-5) confirm that this transition persists across system sizes N = 400 through N = 2,500.</w:t>
      </w:r>
    </w:p>
    <w:p w14:paraId="4B82CEC8"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(Results, evaluation metrics subsection): </w:t>
      </w:r>
      <w:r>
        <w:rPr>
          <w:rFonts w:eastAsia="Times New Roman"/>
        </w:rPr>
        <w:t>A new paragraph defining the critical point (t*) as the first time step at which GSI exceeds 0.5 has been added after the FRI/GSI definitions. The definition notes that t* = 0 when the threshold is never reached, indicating the “best game no one played” outcome.</w:t>
      </w:r>
    </w:p>
    <w:p w14:paraId="7443A712" w14:textId="77777777" w:rsidR="005150AD" w:rsidRPr="00D43B55" w:rsidRDefault="005150AD">
      <w:pPr>
        <w:pBdr>
          <w:left w:val="single" w:sz="3" w:space="8" w:color="2E75B6"/>
        </w:pBdr>
        <w:spacing w:after="160" w:line="360" w:lineRule="auto"/>
        <w:ind w:left="480"/>
      </w:pPr>
    </w:p>
    <w:p w14:paraId="626D4444" w14:textId="77777777" w:rsidR="005150AD" w:rsidRPr="00D43B55" w:rsidRDefault="005150AD">
      <w:pPr>
        <w:pBdr>
          <w:bottom w:val="single" w:sz="1" w:space="0" w:color="CCCCCC"/>
        </w:pBdr>
        <w:spacing w:before="120" w:after="120"/>
      </w:pPr>
    </w:p>
    <w:p w14:paraId="14E0BFBE" w14:textId="77777777" w:rsidR="005150AD" w:rsidRPr="00D43B55" w:rsidRDefault="00000000">
      <w:pPr>
        <w:pStyle w:val="2"/>
      </w:pPr>
      <w:r>
        <w:t>R2-7. Real-World Cases and Comparison with Alternative Coupled Models</w:t>
      </w:r>
    </w:p>
    <w:p w14:paraId="0D28AA1A" w14:textId="77777777" w:rsidR="005150AD" w:rsidRPr="00D43B55" w:rsidRDefault="00000000">
      <w:pPr>
        <w:pBdr>
          <w:left w:val="single" w:sz="3" w:space="8" w:color="808080"/>
        </w:pBdr>
        <w:spacing w:after="160" w:line="360" w:lineRule="auto"/>
        <w:ind w:left="480"/>
      </w:pPr>
      <w:r>
        <w:rPr>
          <w:rFonts w:eastAsia="Times New Roman"/>
          <w:i/>
          <w:iCs/>
          <w:color w:val="404040"/>
        </w:rPr>
        <w:t>The real-world cases (Palm, Taiwanese cinema) are used only as anecdotal motivation. The authors should explicitly discuss the limitations of mapping the 1–100 attitude scale to real-world consumer data. Furthermore, they should briefly compare BCAT’s quantitative behavior with existing coupled models (e.g., voter models with inertia or modified SIS/SIR frameworks).</w:t>
      </w:r>
    </w:p>
    <w:p w14:paraId="6C126542" w14:textId="77777777" w:rsidR="005150AD" w:rsidRPr="00D43B55" w:rsidRDefault="00000000">
      <w:pPr>
        <w:spacing w:after="160" w:line="360" w:lineRule="auto"/>
      </w:pPr>
      <w:r>
        <w:rPr>
          <w:rFonts w:eastAsia="Times New Roman"/>
        </w:rPr>
        <w:t>The first part of this comment—regarding real-world cases and the limitations of the attitude scale—is addressed in our response to R1-3, where we describe the three case-specific paragraphs added to the Discussion section that revisit the motivating cases with qualitative parameter mappings. The discretization equivalence of the 1–100 attitude scale is addressed in our responses to R2-1 and R2-3.</w:t>
      </w:r>
    </w:p>
    <w:p w14:paraId="18C38F90" w14:textId="77777777" w:rsidR="005150AD" w:rsidRPr="00D43B55" w:rsidRDefault="00000000">
      <w:pPr>
        <w:spacing w:after="160" w:line="360" w:lineRule="auto"/>
      </w:pPr>
      <w:r>
        <w:rPr>
          <w:rFonts w:eastAsia="Times New Roman"/>
        </w:rPr>
        <w:t>Regarding the comparison with alternative coupled models, we added a paragraph in the Discussion section (following the alternative theories comparison responding to R1-4) that contrasts BCAT with voter models with inertia and SIS/SIR epidemic frameworks:</w:t>
      </w:r>
    </w:p>
    <w:p w14:paraId="21674116" w14:textId="77777777" w:rsidR="005150AD" w:rsidRPr="00D43B55" w:rsidRDefault="00000000">
      <w:pPr>
        <w:spacing w:after="160" w:line="360" w:lineRule="auto"/>
      </w:pPr>
      <w:r>
        <w:rPr>
          <w:rFonts w:eastAsia="Times New Roman"/>
          <w:b/>
          <w:bCs/>
        </w:rPr>
        <w:t xml:space="preserve">Voter models with inertia </w:t>
      </w:r>
      <w:r>
        <w:rPr>
          <w:rFonts w:eastAsia="Times New Roman"/>
        </w:rPr>
        <w:t>(e.g., the constrained voter model of Stark et al., 2008) introduce a persistence parameter that makes agents less likely to switch opinions, generating longer consensus times and metastable states. However, voter models operate on binary state spaces (adopt/not-adopt or pro/con) and cannot represent the continuous spectrum of attitude intensity central to the “best game no one played” phenomenon. In BCAT, two agents may both hold positive attitudes (e.g., att = 55 and att = 90) yet differ substantially in their proximity to the adoption eligibility threshold—a distinction that binary models cannot capture.</w:t>
      </w:r>
    </w:p>
    <w:p w14:paraId="11389E32" w14:textId="77777777" w:rsidR="005150AD" w:rsidRPr="00D43B55" w:rsidRDefault="00000000">
      <w:pPr>
        <w:spacing w:after="160" w:line="360" w:lineRule="auto"/>
      </w:pPr>
      <w:r>
        <w:rPr>
          <w:rFonts w:eastAsia="Times New Roman"/>
          <w:b/>
          <w:bCs/>
        </w:rPr>
        <w:lastRenderedPageBreak/>
        <w:t xml:space="preserve">SIS/SIR epidemic frameworks </w:t>
      </w:r>
      <w:r>
        <w:rPr>
          <w:rFonts w:eastAsia="Times New Roman"/>
        </w:rPr>
        <w:t>model adoption as a contagion process where contact with an adopter probabilistically “infects” non-adopters. While these models naturally generate S-shaped adoption curves and can incorporate heterogeneous transmission rates, they fundamentally lack an attitude layer: any susceptible agent who contacts an adopter may adopt with some probability, regardless of private attitude. The BCAT model, by contrast, decouples attitude formation from the adoption decision, requiring both a positive attitude and sufficient neighbor adoption as independent preconditions. This two-layer structure enables the model’s signature finding: the coexistence of favorable attitudes with failed adoption—a phenomenon that SIS/SIR models cannot produce by construction, since in those frameworks high “exposure” (analogous to positive local attitudes) mechanically leads to high adoption.</w:t>
      </w:r>
    </w:p>
    <w:p w14:paraId="4419964B" w14:textId="77777777" w:rsidR="005150AD" w:rsidRPr="00D43B55" w:rsidRDefault="00000000">
      <w:pPr>
        <w:pBdr>
          <w:left w:val="single" w:sz="3" w:space="8" w:color="2E75B6"/>
        </w:pBdr>
        <w:spacing w:after="160" w:line="360" w:lineRule="auto"/>
        <w:ind w:left="480"/>
      </w:pPr>
      <w:r>
        <w:rPr>
          <w:rFonts w:eastAsia="Times New Roman"/>
          <w:b/>
          <w:bCs/>
          <w:color w:val="2E75B6"/>
        </w:rPr>
        <w:t>Manuscript change (Discussion, after alternative theories paragraphs):</w:t>
      </w:r>
      <w:r>
        <w:rPr>
          <w:rFonts w:eastAsia="Times New Roman"/>
        </w:rPr>
        <w:t>"We further distinguish BCAT from two classes of coupled dynamical models. Voter models with inertia (Stark et al., 2008) generate metastable heterogeneous states but operate on binary opinion spaces, precluding the continuous attitude variation that allows BCAT to capture nuanced scenarios where agents hold positive but insufficiently strong attitudes. SIS/SIR epidemic frameworks treat adoption as a probabilistic contagion process without an independent attitude layer; any contact with an adopter may trigger adoption regardless of private sentiment. By contrast, BCAT’s two-layer architecture—requiring both positive attitude and sufficient neighbor adoption—enables the emergence of the opinion–adoption gap, a phenomenon structurally absent from single-layer contagion models."</w:t>
      </w:r>
    </w:p>
    <w:p w14:paraId="24A78294" w14:textId="77777777" w:rsidR="005150AD" w:rsidRPr="00D43B55" w:rsidRDefault="005150AD">
      <w:pPr>
        <w:pBdr>
          <w:bottom w:val="single" w:sz="1" w:space="0" w:color="CCCCCC"/>
        </w:pBdr>
        <w:spacing w:before="120" w:after="120"/>
      </w:pPr>
    </w:p>
    <w:p w14:paraId="49493E9B" w14:textId="77777777" w:rsidR="005150AD" w:rsidRPr="00D43B55" w:rsidRDefault="00000000">
      <w:pPr>
        <w:pStyle w:val="2"/>
      </w:pPr>
      <w:r>
        <w:t>R2-8. Reference Error: Gong et al. (2020)</w:t>
      </w:r>
    </w:p>
    <w:p w14:paraId="19F3AE28" w14:textId="77777777" w:rsidR="005150AD" w:rsidRPr="00D43B55" w:rsidRDefault="00000000">
      <w:pPr>
        <w:pBdr>
          <w:left w:val="single" w:sz="3" w:space="8" w:color="808080"/>
        </w:pBdr>
        <w:spacing w:after="160" w:line="360" w:lineRule="auto"/>
        <w:ind w:left="480"/>
      </w:pPr>
      <w:r>
        <w:rPr>
          <w:rFonts w:eastAsia="Times New Roman"/>
          <w:i/>
          <w:iCs/>
          <w:color w:val="404040"/>
        </w:rPr>
        <w:t>Reference “Gong et al. (2020)” has a mistake. The title field contains a fragment of a footnote regarding NetLogo source code modification. Correct or replace this bibliographic entry.</w:t>
      </w:r>
    </w:p>
    <w:p w14:paraId="346CF2F3" w14:textId="77777777" w:rsidR="005150AD" w:rsidRPr="00D43B55" w:rsidRDefault="00000000">
      <w:pPr>
        <w:spacing w:after="160" w:line="360" w:lineRule="auto"/>
      </w:pPr>
      <w:r>
        <w:rPr>
          <w:rFonts w:eastAsia="Times New Roman"/>
        </w:rPr>
        <w:t>As noted in our response to R1-Minor, we corrected this error. The title field was inadvertently overwritten by a code-related footnote during manuscript preparation. The corrected reference entry now contains the verified title and complete bibliographic information.</w:t>
      </w:r>
    </w:p>
    <w:p w14:paraId="52B11384"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w:t>
      </w:r>
      <w:r>
        <w:rPr>
          <w:rFonts w:eastAsia="Times New Roman"/>
        </w:rPr>
        <w:t>The reference entry for Gong et al. (2020) has been corrected. See response to R1-Minor for details.</w:t>
      </w:r>
    </w:p>
    <w:p w14:paraId="6E46947A" w14:textId="77777777" w:rsidR="005150AD" w:rsidRPr="00D43B55" w:rsidRDefault="00000000">
      <w:r>
        <w:br w:type="page"/>
      </w:r>
    </w:p>
    <w:p w14:paraId="24BB113F" w14:textId="77777777" w:rsidR="005150AD" w:rsidRPr="00D43B55" w:rsidRDefault="00000000">
      <w:pPr>
        <w:pStyle w:val="1"/>
      </w:pPr>
      <w:r>
        <w:lastRenderedPageBreak/>
        <w:t>Part IV: Summary of All Manuscript Changes</w:t>
      </w:r>
    </w:p>
    <w:p w14:paraId="37915A5B" w14:textId="77777777" w:rsidR="005150AD" w:rsidRPr="00D43B55" w:rsidRDefault="00000000">
      <w:pPr>
        <w:spacing w:after="160" w:line="360" w:lineRule="auto"/>
      </w:pPr>
      <w:r>
        <w:rPr>
          <w:rFonts w:eastAsia="Times New Roman"/>
        </w:rPr>
        <w:t>For the convenience of the reviewers and the editor, we summarize below all structural and substantive changes made to the revised manuscript:</w:t>
      </w:r>
    </w:p>
    <w:p w14:paraId="5E441EF0" w14:textId="77777777" w:rsidR="005150AD" w:rsidRPr="00D43B55" w:rsidRDefault="00000000">
      <w:pPr>
        <w:spacing w:after="120" w:line="340" w:lineRule="auto"/>
        <w:ind w:left="360" w:hanging="360"/>
      </w:pPr>
      <w:r>
        <w:rPr>
          <w:rFonts w:eastAsia="Times New Roman"/>
          <w:b/>
          <w:bCs/>
        </w:rPr>
        <w:t xml:space="preserve">1. </w:t>
      </w:r>
      <w:r>
        <w:rPr>
          <w:rFonts w:eastAsia="Times New Roman"/>
        </w:rPr>
        <w:t>New paragraphs in Related Models and Simulation Model Specifications sections — articulating why bounded confidence is the theoretically necessary complement to adoption thresholds (vs. DeGroot and voter model alternatives), and identifying the dual-filter mechanism and adoption-to-opinion feedback loop as emergent properties of the combined framework. (Responding to R1-1)</w:t>
      </w:r>
    </w:p>
    <w:p w14:paraId="7663BAC5" w14:textId="77777777" w:rsidR="005150AD" w:rsidRPr="00D43B55" w:rsidRDefault="00000000">
      <w:pPr>
        <w:spacing w:after="120" w:line="340" w:lineRule="auto"/>
        <w:ind w:left="360" w:hanging="360"/>
      </w:pPr>
      <w:r>
        <w:rPr>
          <w:rFonts w:eastAsia="Times New Roman"/>
          <w:b/>
          <w:bCs/>
        </w:rPr>
        <w:t xml:space="preserve">2. </w:t>
      </w:r>
      <w:r>
        <w:rPr>
          <w:rFonts w:eastAsia="Times New Roman"/>
        </w:rPr>
        <w:t>Revised Related Models section: Distinguished the Deffuant RA model (Equations 1–2, retained as literature context) from the BCAT implementation (simple Deffuant BC variant); new positioning paragraph and Table 1 comparing HK, Deffuant RA, and BCAT across eight dimensions; rewritten Algorithm 3 description with explicit update rule; Deffuant et al. (2000) reference added. (Responding to R2-1)</w:t>
      </w:r>
    </w:p>
    <w:p w14:paraId="6B0112BF" w14:textId="77777777" w:rsidR="005150AD" w:rsidRPr="00D43B55" w:rsidRDefault="00000000">
      <w:pPr>
        <w:spacing w:after="120" w:line="340" w:lineRule="auto"/>
        <w:ind w:left="360" w:hanging="360"/>
      </w:pPr>
      <w:r>
        <w:rPr>
          <w:rFonts w:eastAsia="Times New Roman"/>
          <w:b/>
          <w:bCs/>
        </w:rPr>
        <w:t xml:space="preserve">3. </w:t>
      </w:r>
      <w:r>
        <w:rPr>
          <w:rFonts w:eastAsia="Times New Roman"/>
        </w:rPr>
        <w:t>Revised Simulation Model Specifications section: Relocated Evaluation Indicators (FRI, GSI, critical point definitions) and Emergent Properties (dual-filter mechanism, feedback loop) from Results to end of this section, ensuring all terms are defined before first use. Added pseudo-concurrent update scheme specification, threshold scaling conversion, and section roadmap. Pre-definition references to BCAT in the Related Models section replaced with descriptive language. (Responding to R2-2, R2-3, R2-6, and structural revision)</w:t>
      </w:r>
    </w:p>
    <w:p w14:paraId="23391AE8" w14:textId="77777777" w:rsidR="005150AD" w:rsidRPr="00D43B55" w:rsidRDefault="00000000">
      <w:pPr>
        <w:spacing w:after="120" w:line="340" w:lineRule="auto"/>
        <w:ind w:left="360" w:hanging="360"/>
      </w:pPr>
      <w:r>
        <w:rPr>
          <w:rFonts w:eastAsia="Times New Roman"/>
          <w:b/>
          <w:bCs/>
        </w:rPr>
        <w:t xml:space="preserve">4. </w:t>
      </w:r>
      <w:r>
        <w:rPr>
          <w:rFonts w:eastAsia="Times New Roman"/>
        </w:rPr>
        <w:t>New subsection “Mechanism decomposition: Coordination failure versus opinion clustering” in Results — three controlled experiments (MD-A/B/C, 30,000 runs) with new Fig 10, plus new Discussion paragraph on intervention implications. (Responding to R1-2)</w:t>
      </w:r>
    </w:p>
    <w:p w14:paraId="60C9F0F3" w14:textId="77777777" w:rsidR="005150AD" w:rsidRPr="00D43B55" w:rsidRDefault="00000000">
      <w:pPr>
        <w:spacing w:after="120" w:line="340" w:lineRule="auto"/>
        <w:ind w:left="360" w:hanging="360"/>
      </w:pPr>
      <w:r>
        <w:rPr>
          <w:rFonts w:eastAsia="Times New Roman"/>
          <w:b/>
          <w:bCs/>
        </w:rPr>
        <w:t xml:space="preserve">5. </w:t>
      </w:r>
      <w:r>
        <w:rPr>
          <w:rFonts w:eastAsia="Times New Roman"/>
        </w:rPr>
        <w:t>Finite-size scaling note added to sensitivity analysis subsection — experiments at N=900, 1,600, and 2,500 confirm robustness of all qualitative phenomena. (Responding to R2-5)</w:t>
      </w:r>
    </w:p>
    <w:p w14:paraId="3E2D7CBC" w14:textId="77777777" w:rsidR="005150AD" w:rsidRPr="00D43B55" w:rsidRDefault="00000000">
      <w:pPr>
        <w:spacing w:after="120" w:line="340" w:lineRule="auto"/>
        <w:ind w:left="360" w:hanging="360"/>
      </w:pPr>
      <w:r>
        <w:rPr>
          <w:rFonts w:eastAsia="Times New Roman"/>
          <w:b/>
          <w:bCs/>
        </w:rPr>
        <w:t xml:space="preserve">6. </w:t>
      </w:r>
      <w:r>
        <w:rPr>
          <w:rFonts w:eastAsia="Times New Roman"/>
        </w:rPr>
        <w:t>Structural revision: All terms (BCAT, FRI, GSI) now follow the “define before first use” principle. Pre-definition references to BCAT in the Related Models section replaced with descriptive language; Evaluation Indicators and Emergent Properties subsections relocated from Results to end of Simulation Model Specifications.</w:t>
      </w:r>
    </w:p>
    <w:p w14:paraId="721705B2" w14:textId="77777777" w:rsidR="005150AD" w:rsidRPr="00D43B55" w:rsidRDefault="00000000">
      <w:pPr>
        <w:spacing w:after="120" w:line="340" w:lineRule="auto"/>
        <w:ind w:left="360" w:hanging="360"/>
      </w:pPr>
      <w:r>
        <w:rPr>
          <w:rFonts w:eastAsia="Times New Roman"/>
          <w:b/>
          <w:bCs/>
        </w:rPr>
        <w:t xml:space="preserve">7. </w:t>
      </w:r>
      <w:r>
        <w:rPr>
          <w:rFonts w:eastAsia="Times New Roman"/>
        </w:rPr>
        <w:t>Revised Table 3: Algorithm identification (Random Forest, 100 trees), standard errors for Feature Importance (±SE ≤ 0.001), corrected Parameter Importance values (Pearson correlations), verified data alignment, dual threshold scaling notation, and a footnote explaining why Parameter Importance and Standardized Regression values are nearly identical (orthogonal predictor design). (Responding to R2-4, R2-3)</w:t>
      </w:r>
    </w:p>
    <w:p w14:paraId="78426FDA" w14:textId="77777777" w:rsidR="005150AD" w:rsidRPr="00D43B55" w:rsidRDefault="00000000">
      <w:pPr>
        <w:spacing w:after="120" w:line="340" w:lineRule="auto"/>
        <w:ind w:left="360" w:hanging="360"/>
      </w:pPr>
      <w:r>
        <w:rPr>
          <w:rFonts w:eastAsia="Times New Roman"/>
          <w:b/>
          <w:bCs/>
        </w:rPr>
        <w:lastRenderedPageBreak/>
        <w:t xml:space="preserve">8. </w:t>
      </w:r>
      <w:r>
        <w:rPr>
          <w:rFonts w:eastAsia="Times New Roman"/>
        </w:rPr>
        <w:t>Three case-specific paragraphs in Discussion — Palm (avg-of-thresholds + Fig 5), Taiwanese film (avg-of-attitudes + Fig 8c–d), SOA (bounded-confidence + Fig 8a–b). (Responding to R1-3, R2-7)</w:t>
      </w:r>
    </w:p>
    <w:p w14:paraId="27C9F782" w14:textId="77777777" w:rsidR="005150AD" w:rsidRPr="00D43B55" w:rsidRDefault="00000000">
      <w:pPr>
        <w:spacing w:after="120" w:line="340" w:lineRule="auto"/>
        <w:ind w:left="360" w:hanging="360"/>
      </w:pPr>
      <w:r>
        <w:rPr>
          <w:rFonts w:eastAsia="Times New Roman"/>
          <w:b/>
          <w:bCs/>
        </w:rPr>
        <w:t xml:space="preserve">9. </w:t>
      </w:r>
      <w:r>
        <w:rPr>
          <w:rFonts w:eastAsia="Times New Roman"/>
        </w:rPr>
        <w:t>New Discussion paragraphs: Alternative theories and distinguishing predictions — systematic comparison with Banerjee (1992), Katz &amp; Shapiro (1985), Morris &amp; Shin (2003), with testable discriminating predictions for each. (Responding to R1-4, R2-7)</w:t>
      </w:r>
    </w:p>
    <w:p w14:paraId="0A28ECB4" w14:textId="77777777" w:rsidR="005150AD" w:rsidRPr="00D43B55" w:rsidRDefault="00000000">
      <w:pPr>
        <w:spacing w:after="120" w:line="340" w:lineRule="auto"/>
        <w:ind w:left="360" w:hanging="360"/>
      </w:pPr>
      <w:r>
        <w:rPr>
          <w:rFonts w:eastAsia="Times New Roman"/>
          <w:b/>
          <w:bCs/>
        </w:rPr>
        <w:t xml:space="preserve">10. </w:t>
      </w:r>
      <w:r>
        <w:rPr>
          <w:rFonts w:eastAsia="Times New Roman"/>
        </w:rPr>
        <w:t>New Fig 10: Two-panel mechanism decomposition on regular lattice showing (a) MD-A coordination failure profile with phase transition, and (b) MD-C stacked decomposition of total adoption gap. (Responding to R1-2)</w:t>
      </w:r>
    </w:p>
    <w:p w14:paraId="5F0D6AE3" w14:textId="77777777" w:rsidR="005150AD" w:rsidRPr="00D43B55" w:rsidRDefault="00000000">
      <w:pPr>
        <w:spacing w:after="120" w:line="340" w:lineRule="auto"/>
        <w:ind w:left="360" w:hanging="360"/>
      </w:pPr>
      <w:r>
        <w:rPr>
          <w:rFonts w:eastAsia="Times New Roman"/>
          <w:b/>
          <w:bCs/>
        </w:rPr>
        <w:t xml:space="preserve">11. </w:t>
      </w:r>
      <w:r>
        <w:rPr>
          <w:rFonts w:eastAsia="Times New Roman"/>
        </w:rPr>
        <w:t>New Discussion paragraph comparing BCAT with voter models with inertia and SIS/SIR epidemic frameworks. (Responding to R2-7)</w:t>
      </w:r>
    </w:p>
    <w:p w14:paraId="20CA7AD5" w14:textId="77777777" w:rsidR="005150AD" w:rsidRPr="00D43B55" w:rsidRDefault="00000000">
      <w:pPr>
        <w:spacing w:after="120" w:line="340" w:lineRule="auto"/>
        <w:ind w:left="360" w:hanging="360"/>
      </w:pPr>
      <w:r>
        <w:rPr>
          <w:rFonts w:eastAsia="Times New Roman"/>
          <w:b/>
          <w:bCs/>
        </w:rPr>
        <w:t xml:space="preserve">12. </w:t>
      </w:r>
      <w:r>
        <w:rPr>
          <w:rFonts w:eastAsia="Times New Roman"/>
        </w:rPr>
        <w:t>Replaced Figures 2, 4, 5, 6, 10, 11: NetLogo GUI screenshots replaced with author-generated Python/matplotlib visualizations. (Responding to JR-5)</w:t>
      </w:r>
    </w:p>
    <w:p w14:paraId="12D6F43B" w14:textId="77777777" w:rsidR="005150AD" w:rsidRPr="00D43B55" w:rsidRDefault="00000000">
      <w:pPr>
        <w:spacing w:after="120" w:line="340" w:lineRule="auto"/>
        <w:ind w:left="360" w:hanging="360"/>
      </w:pPr>
      <w:r>
        <w:rPr>
          <w:rFonts w:eastAsia="Times New Roman"/>
          <w:b/>
          <w:bCs/>
        </w:rPr>
        <w:t xml:space="preserve">13. </w:t>
      </w:r>
      <w:r>
        <w:rPr>
          <w:rFonts w:eastAsia="Times New Roman"/>
        </w:rPr>
        <w:t>Corrected reference: Gong et al. (2020) bibliographic entry. (Responding to R1-Minor, R2-8)</w:t>
      </w:r>
    </w:p>
    <w:p w14:paraId="5B642D69" w14:textId="77777777" w:rsidR="005150AD" w:rsidRPr="00D43B55" w:rsidRDefault="00000000">
      <w:pPr>
        <w:spacing w:after="120" w:line="340" w:lineRule="auto"/>
        <w:ind w:left="360" w:hanging="360"/>
      </w:pPr>
      <w:r>
        <w:rPr>
          <w:rFonts w:eastAsia="Times New Roman"/>
          <w:b/>
          <w:bCs/>
        </w:rPr>
        <w:t xml:space="preserve">14. </w:t>
      </w:r>
      <w:r>
        <w:rPr>
          <w:rFonts w:eastAsia="Times New Roman"/>
        </w:rPr>
        <w:t>Added references: Banerjee (1992), Golub &amp; Jackson (2010, 2012), Cheng et al. (2026), Katz &amp; Shapiro (1985), Morris &amp; Shin (2003), Berenbrink et al. (2024). (Responding to JR-6)</w:t>
      </w:r>
    </w:p>
    <w:p w14:paraId="2D2EF4E8" w14:textId="77777777" w:rsidR="005150AD" w:rsidRPr="00D43B55" w:rsidRDefault="00000000">
      <w:pPr>
        <w:spacing w:after="120" w:line="340" w:lineRule="auto"/>
        <w:ind w:left="360" w:hanging="360"/>
      </w:pPr>
      <w:r>
        <w:rPr>
          <w:rFonts w:eastAsia="Times New Roman"/>
          <w:b/>
          <w:bCs/>
        </w:rPr>
        <w:t xml:space="preserve">15. </w:t>
      </w:r>
      <w:r>
        <w:rPr>
          <w:rFonts w:eastAsia="Times New Roman"/>
        </w:rPr>
        <w:t>LaTeX conversion: Entire manuscript reformatted using PLOS ONE LaTeX template. (Responding to JR-3)</w:t>
      </w:r>
    </w:p>
    <w:p w14:paraId="7D762100" w14:textId="77777777" w:rsidR="005150AD" w:rsidRPr="00D43B55" w:rsidRDefault="00000000">
      <w:pPr>
        <w:spacing w:after="120" w:line="340" w:lineRule="auto"/>
        <w:ind w:left="360" w:hanging="360"/>
      </w:pPr>
      <w:r>
        <w:rPr>
          <w:rFonts w:eastAsia="Times New Roman"/>
          <w:b/>
          <w:bCs/>
        </w:rPr>
        <w:t xml:space="preserve">16. </w:t>
      </w:r>
      <w:r>
        <w:rPr>
          <w:rFonts w:eastAsia="Times New Roman"/>
        </w:rPr>
      </w:r>
      <w:r>
        <w:t>Code and data: Public GitHub repository with Zenodo DOI. Four Supporting Information files accompany the manuscript: S1 File (sensitivity analysis simulation data across four network topologies, N = 100,548 total observations, underlying Table 3 and Figs 7–9), S2 File (mechanism decomposition experiment data for MD-A/B/C on regular lattice and small-world topologies, 30,000 total runs, underlying Fig 10), S3 File (finite-size scaling experiment data at N = 400 to 2,500, confirming robustness of all qualitative phenomena), and S4 File (Python scripts for reproducing all reported statistical analyses and figures from the raw data in S1–S3 Files). (Responding to JR-2, JR-4)</w:t>
      </w:r>
    </w:p>
    <w:p w14:paraId="3B000017" w14:textId="77777777" w:rsidR="005150AD" w:rsidRPr="00D43B55" w:rsidRDefault="00000000">
      <w:pPr>
        <w:spacing w:after="160" w:line="360" w:lineRule="auto"/>
        <w:ind w:left="480"/>
      </w:pPr>
      <w:r>
        <w:rPr>
          <w:rFonts w:eastAsia="Times New Roman"/>
        </w:rPr>
        <w:t>17. Updated Abstract: Added two sentences summarizing the mechanism decomposition findings (testimony effect neutralizes opinion clustering; coordination failure is the dominant driver) and the distinguishing predictions relative to alternative frameworks. (Responding to R1-2, R1-4)</w:t>
      </w:r>
    </w:p>
    <w:p w14:paraId="01B2C301" w14:textId="77777777" w:rsidR="005150AD" w:rsidRPr="00D43B55" w:rsidRDefault="005150AD">
      <w:pPr>
        <w:spacing w:before="360" w:after="160" w:line="360" w:lineRule="auto"/>
      </w:pPr>
      <w:r>
        <w:rPr>
          <w:b/>
          <w:bCs/>
          <w:sz w:val="28"/>
          <w:szCs w:val="28"/>
        </w:rPr>
        <w:t>References Cited in This Response</w:t>
      </w:r>
    </w:p>
    <w:p w14:paraId="01B2C302" w14:textId="77777777" w:rsidR="005150AD" w:rsidRPr="00D43B55" w:rsidRDefault="00000000">
      <w:pPr>
        <w:spacing w:after="80" w:line="300" w:lineRule="auto"/>
        <w:ind w:left="480" w:hanging="480"/>
        <w:rPr>
          <w:sz w:val="20"/>
          <w:szCs w:val="20"/>
        </w:rPr>
      </w:pPr>
      <w:r>
        <w:rPr>
          <w:sz w:val="20"/>
          <w:szCs w:val="20"/>
        </w:rPr>
        <w:t>Banerjee, A. V. (1992). A simple model of herd behavior. Quarterly Journal of Economics, 107(3), 797–817.</w:t>
      </w:r>
    </w:p>
    <w:p w14:paraId="01B2C303" w14:textId="77777777" w:rsidR="005150AD" w:rsidRPr="00D43B55" w:rsidRDefault="00000000">
      <w:pPr>
        <w:spacing w:after="80" w:line="300" w:lineRule="auto"/>
        <w:ind w:left="480" w:hanging="480"/>
        <w:rPr>
          <w:sz w:val="20"/>
          <w:szCs w:val="20"/>
        </w:rPr>
      </w:pPr>
      <w:r>
        <w:rPr>
          <w:sz w:val="20"/>
          <w:szCs w:val="20"/>
        </w:rPr>
        <w:t>Berenbrink, P., Hoefer, M., Kaaser, D., Lenzner, P., Rau, M., &amp; Schmand, D. (2024). Asynchronous opinion dynamics in social networks. Distributed Computing, 37(3), 207–224.</w:t>
      </w:r>
    </w:p>
    <w:p w14:paraId="01B2C304" w14:textId="77777777" w:rsidR="005150AD" w:rsidRPr="00D43B55" w:rsidRDefault="00000000">
      <w:pPr>
        <w:spacing w:after="80" w:line="300" w:lineRule="auto"/>
        <w:ind w:left="480" w:hanging="480"/>
        <w:rPr>
          <w:sz w:val="20"/>
          <w:szCs w:val="20"/>
        </w:rPr>
      </w:pPr>
      <w:r>
        <w:rPr>
          <w:sz w:val="20"/>
          <w:szCs w:val="20"/>
        </w:rPr>
        <w:t>Cheng, C., Han, X., Tong, X., Wu, Y., &amp; Xing, Y. (2026). Degree-weighted social learning. American Economic Journal: Microeconomics. Forthcoming.</w:t>
      </w:r>
    </w:p>
    <w:p w14:paraId="01B2C305" w14:textId="77777777" w:rsidR="005150AD" w:rsidRPr="00D43B55" w:rsidRDefault="00000000">
      <w:pPr>
        <w:spacing w:after="80" w:line="300" w:lineRule="auto"/>
        <w:ind w:left="480" w:hanging="480"/>
        <w:rPr>
          <w:sz w:val="20"/>
          <w:szCs w:val="20"/>
        </w:rPr>
      </w:pPr>
      <w:r>
        <w:rPr>
          <w:sz w:val="20"/>
          <w:szCs w:val="20"/>
        </w:rPr>
        <w:lastRenderedPageBreak/>
        <w:t>Deffuant, G., Neau, D., Amblard, F., &amp; Weisbuch, G. (2000). Mixing beliefs among interacting agents. Advances in Complex Systems, 3(1–4), 87–98.</w:t>
      </w:r>
    </w:p>
    <w:p w14:paraId="01B2C306" w14:textId="77777777" w:rsidR="005150AD" w:rsidRPr="00D43B55" w:rsidRDefault="00000000">
      <w:pPr>
        <w:spacing w:after="80" w:line="300" w:lineRule="auto"/>
        <w:ind w:left="480" w:hanging="480"/>
        <w:rPr>
          <w:sz w:val="20"/>
          <w:szCs w:val="20"/>
        </w:rPr>
      </w:pPr>
      <w:r>
        <w:rPr>
          <w:sz w:val="20"/>
          <w:szCs w:val="20"/>
        </w:rPr>
        <w:t>Deffuant, G., Amblard, F., Weisbuch, G., &amp; Faure, T. (2002). How can extremism prevail? A study based on the relative agreement interaction model. Journal of Artificial Societies and Social Simulation, 5(4).</w:t>
      </w:r>
    </w:p>
    <w:p w14:paraId="01B2C307" w14:textId="77777777" w:rsidR="005150AD" w:rsidRPr="00D43B55" w:rsidRDefault="00000000">
      <w:pPr>
        <w:spacing w:after="80" w:line="300" w:lineRule="auto"/>
        <w:ind w:left="480" w:hanging="480"/>
        <w:rPr>
          <w:sz w:val="20"/>
          <w:szCs w:val="20"/>
        </w:rPr>
      </w:pPr>
      <w:r>
        <w:rPr>
          <w:sz w:val="20"/>
          <w:szCs w:val="20"/>
        </w:rPr>
        <w:t>Erl, T. (2005). Service-Oriented Architecture: Concepts, Technology, and Design. Prentice Hall PTR.</w:t>
      </w:r>
    </w:p>
    <w:p w14:paraId="01B2C308" w14:textId="77777777" w:rsidR="005150AD" w:rsidRPr="00D43B55" w:rsidRDefault="00000000">
      <w:pPr>
        <w:spacing w:after="80" w:line="300" w:lineRule="auto"/>
        <w:ind w:left="480" w:hanging="480"/>
        <w:rPr>
          <w:sz w:val="20"/>
          <w:szCs w:val="20"/>
        </w:rPr>
      </w:pPr>
      <w:r>
        <w:rPr>
          <w:sz w:val="20"/>
          <w:szCs w:val="20"/>
        </w:rPr>
        <w:t>Golub, B., &amp; Jackson, M. O. (2010). Naïve learning in social networks and the wisdom of crowds. American Economic Journal: Microeconomics, 2(1), 112–149.</w:t>
      </w:r>
    </w:p>
    <w:p w14:paraId="01B2C309" w14:textId="77777777" w:rsidR="005150AD" w:rsidRPr="00D43B55" w:rsidRDefault="00000000">
      <w:pPr>
        <w:spacing w:after="80" w:line="300" w:lineRule="auto"/>
        <w:ind w:left="480" w:hanging="480"/>
        <w:rPr>
          <w:sz w:val="20"/>
          <w:szCs w:val="20"/>
        </w:rPr>
      </w:pPr>
      <w:r>
        <w:rPr>
          <w:sz w:val="20"/>
          <w:szCs w:val="20"/>
        </w:rPr>
        <w:t>Golub, B., &amp; Jackson, M. O. (2012). How homophily affects the speed of learning and best-response dynamics. Quarterly Journal of Economics, 127(3), 1287–1338.</w:t>
      </w:r>
    </w:p>
    <w:p w14:paraId="01B2C30A" w14:textId="77777777" w:rsidR="005150AD" w:rsidRPr="00D43B55" w:rsidRDefault="00000000">
      <w:pPr>
        <w:spacing w:after="80" w:line="300" w:lineRule="auto"/>
        <w:ind w:left="480" w:hanging="480"/>
        <w:rPr>
          <w:sz w:val="20"/>
          <w:szCs w:val="20"/>
        </w:rPr>
      </w:pPr>
      <w:r>
        <w:rPr>
          <w:sz w:val="20"/>
          <w:szCs w:val="20"/>
        </w:rPr>
        <w:t>Katz, M. L., &amp; Shapiro, C. (1985). Network externalities, competition, and compatibility. American Economic Review, 75(3), 424–440.</w:t>
      </w:r>
    </w:p>
    <w:p w14:paraId="01B2C30B" w14:textId="77777777" w:rsidR="005150AD" w:rsidRPr="00D43B55" w:rsidRDefault="00000000">
      <w:pPr>
        <w:spacing w:after="80" w:line="300" w:lineRule="auto"/>
        <w:ind w:left="480" w:hanging="480"/>
        <w:rPr>
          <w:sz w:val="20"/>
          <w:szCs w:val="20"/>
        </w:rPr>
      </w:pPr>
      <w:r>
        <w:rPr>
          <w:sz w:val="20"/>
          <w:szCs w:val="20"/>
        </w:rPr>
        <w:t>McPherson, M., Smith-Lovin, L., &amp; Cook, J. M. (2001). Birds of a feather: Homophily in social networks. Annual Review of Sociology, 27(1), 415–444.</w:t>
      </w:r>
    </w:p>
    <w:p w14:paraId="01B2C30C" w14:textId="77777777" w:rsidR="005150AD" w:rsidRPr="00D43B55" w:rsidRDefault="00000000">
      <w:pPr>
        <w:spacing w:after="80" w:line="300" w:lineRule="auto"/>
        <w:ind w:left="480" w:hanging="480"/>
        <w:rPr>
          <w:sz w:val="20"/>
          <w:szCs w:val="20"/>
        </w:rPr>
      </w:pPr>
      <w:r>
        <w:rPr>
          <w:sz w:val="20"/>
          <w:szCs w:val="20"/>
        </w:rPr>
        <w:t>Morris, S., &amp; Shin, H. S. (2003). Global games: Theory and applications. In M. Dewatripont, L. P. Hansen, &amp; S. J. Turnovsky (Eds.), Advances in Economics and Econometrics (Vol. 1, pp. 56–114). Cambridge University Press.</w:t>
      </w:r>
    </w:p>
    <w:p w14:paraId="01B2C30D" w14:textId="77777777" w:rsidR="005150AD" w:rsidRPr="00D43B55" w:rsidRDefault="00000000">
      <w:pPr>
        <w:spacing w:after="80" w:line="300" w:lineRule="auto"/>
        <w:ind w:left="480" w:hanging="480"/>
        <w:rPr>
          <w:sz w:val="20"/>
          <w:szCs w:val="20"/>
        </w:rPr>
      </w:pPr>
      <w:r>
        <w:rPr>
          <w:sz w:val="20"/>
          <w:szCs w:val="20"/>
        </w:rPr>
        <w:t>Oliver, P., Marwell, G., &amp; Teixeira, R. (1985). A theory of the critical mass. American Journal of Sociology, 91(3), 522–556.</w:t>
      </w:r>
    </w:p>
    <w:p w14:paraId="01B2C30E" w14:textId="77777777" w:rsidR="005150AD" w:rsidRPr="00D43B55" w:rsidRDefault="00000000">
      <w:pPr>
        <w:spacing w:after="80" w:line="300" w:lineRule="auto"/>
        <w:ind w:left="480" w:hanging="480"/>
        <w:rPr>
          <w:sz w:val="20"/>
          <w:szCs w:val="20"/>
        </w:rPr>
      </w:pPr>
      <w:r>
        <w:rPr>
          <w:sz w:val="20"/>
          <w:szCs w:val="20"/>
        </w:rPr>
        <w:t>Rogers, E. M. (2003). Diffusion of Innovations (5th ed.). Free Press.</w:t>
      </w:r>
    </w:p>
    <w:p w14:paraId="01B2C30F" w14:textId="77777777" w:rsidR="005150AD" w:rsidRPr="00D43B55" w:rsidRDefault="00000000">
      <w:pPr>
        <w:spacing w:after="80" w:line="300" w:lineRule="auto"/>
        <w:ind w:left="480" w:hanging="480"/>
        <w:rPr>
          <w:sz w:val="20"/>
          <w:szCs w:val="20"/>
        </w:rPr>
      </w:pPr>
      <w:r>
        <w:rPr>
          <w:sz w:val="20"/>
          <w:szCs w:val="20"/>
        </w:rPr>
        <w:t>Valente, T. W. (1996). Social network thresholds in the diffusion of innovations. Social Networks, 18(1), 69–89.</w:t>
      </w:r>
    </w:p>
    <w:p w14:paraId="01B2C310" w14:textId="77777777" w:rsidR="005150AD" w:rsidRPr="00D43B55" w:rsidRDefault="00000000">
      <w:pPr>
        <w:spacing w:after="80" w:line="300" w:lineRule="auto"/>
        <w:ind w:left="480" w:hanging="480"/>
        <w:rPr>
          <w:sz w:val="20"/>
          <w:szCs w:val="20"/>
        </w:rPr>
      </w:pPr>
      <w:r>
        <w:rPr>
          <w:sz w:val="20"/>
          <w:szCs w:val="20"/>
        </w:rPr>
        <w:t>Watts, D. J. (2004). A simple model of global cascades on random networks. In E. Ostrom &amp; T. K. Ahn (Eds.), Foundations of Social Capital (pp. 316–334). Edward Elgar Publishing.</w:t>
      </w:r>
    </w:p>
    <w:sectPr w:rsidR="005150AD" w:rsidRPr="00D43B55" w:rsidSect="00630B2A">
      <w:pgSz w:w="12240" w:h="15840"/>
      <w:pgMar w:top="1440" w:right="1800" w:bottom="1440" w:left="180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1C72"/>
    <w:multiLevelType w:val="hybridMultilevel"/>
    <w:tmpl w:val="1E32C6A8"/>
    <w:lvl w:ilvl="0" w:tplc="30BAE0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5904FF3"/>
    <w:multiLevelType w:val="hybridMultilevel"/>
    <w:tmpl w:val="D6A057B4"/>
    <w:lvl w:ilvl="0" w:tplc="62E430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AAB0B9A"/>
    <w:multiLevelType w:val="hybridMultilevel"/>
    <w:tmpl w:val="8AC2DC6C"/>
    <w:lvl w:ilvl="0" w:tplc="04090001">
      <w:start w:val="1"/>
      <w:numFmt w:val="bullet"/>
      <w:lvlText w:val=""/>
      <w:lvlJc w:val="left"/>
      <w:pPr>
        <w:ind w:left="3360" w:hanging="480"/>
      </w:pPr>
      <w:rPr>
        <w:rFonts w:ascii="Wingdings" w:hAnsi="Wingdings" w:hint="default"/>
      </w:rPr>
    </w:lvl>
    <w:lvl w:ilvl="1" w:tplc="04090003" w:tentative="1">
      <w:start w:val="1"/>
      <w:numFmt w:val="bullet"/>
      <w:lvlText w:val=""/>
      <w:lvlJc w:val="left"/>
      <w:pPr>
        <w:ind w:left="3840" w:hanging="480"/>
      </w:pPr>
      <w:rPr>
        <w:rFonts w:ascii="Wingdings" w:hAnsi="Wingdings" w:hint="default"/>
      </w:rPr>
    </w:lvl>
    <w:lvl w:ilvl="2" w:tplc="04090005" w:tentative="1">
      <w:start w:val="1"/>
      <w:numFmt w:val="bullet"/>
      <w:lvlText w:val=""/>
      <w:lvlJc w:val="left"/>
      <w:pPr>
        <w:ind w:left="4320" w:hanging="480"/>
      </w:pPr>
      <w:rPr>
        <w:rFonts w:ascii="Wingdings" w:hAnsi="Wingdings" w:hint="default"/>
      </w:rPr>
    </w:lvl>
    <w:lvl w:ilvl="3" w:tplc="04090001" w:tentative="1">
      <w:start w:val="1"/>
      <w:numFmt w:val="bullet"/>
      <w:lvlText w:val=""/>
      <w:lvlJc w:val="left"/>
      <w:pPr>
        <w:ind w:left="4800" w:hanging="480"/>
      </w:pPr>
      <w:rPr>
        <w:rFonts w:ascii="Wingdings" w:hAnsi="Wingdings" w:hint="default"/>
      </w:rPr>
    </w:lvl>
    <w:lvl w:ilvl="4" w:tplc="04090003" w:tentative="1">
      <w:start w:val="1"/>
      <w:numFmt w:val="bullet"/>
      <w:lvlText w:val=""/>
      <w:lvlJc w:val="left"/>
      <w:pPr>
        <w:ind w:left="5280" w:hanging="480"/>
      </w:pPr>
      <w:rPr>
        <w:rFonts w:ascii="Wingdings" w:hAnsi="Wingdings" w:hint="default"/>
      </w:rPr>
    </w:lvl>
    <w:lvl w:ilvl="5" w:tplc="04090005" w:tentative="1">
      <w:start w:val="1"/>
      <w:numFmt w:val="bullet"/>
      <w:lvlText w:val=""/>
      <w:lvlJc w:val="left"/>
      <w:pPr>
        <w:ind w:left="5760" w:hanging="480"/>
      </w:pPr>
      <w:rPr>
        <w:rFonts w:ascii="Wingdings" w:hAnsi="Wingdings" w:hint="default"/>
      </w:rPr>
    </w:lvl>
    <w:lvl w:ilvl="6" w:tplc="04090001" w:tentative="1">
      <w:start w:val="1"/>
      <w:numFmt w:val="bullet"/>
      <w:lvlText w:val=""/>
      <w:lvlJc w:val="left"/>
      <w:pPr>
        <w:ind w:left="6240" w:hanging="480"/>
      </w:pPr>
      <w:rPr>
        <w:rFonts w:ascii="Wingdings" w:hAnsi="Wingdings" w:hint="default"/>
      </w:rPr>
    </w:lvl>
    <w:lvl w:ilvl="7" w:tplc="04090003" w:tentative="1">
      <w:start w:val="1"/>
      <w:numFmt w:val="bullet"/>
      <w:lvlText w:val=""/>
      <w:lvlJc w:val="left"/>
      <w:pPr>
        <w:ind w:left="6720" w:hanging="480"/>
      </w:pPr>
      <w:rPr>
        <w:rFonts w:ascii="Wingdings" w:hAnsi="Wingdings" w:hint="default"/>
      </w:rPr>
    </w:lvl>
    <w:lvl w:ilvl="8" w:tplc="04090005" w:tentative="1">
      <w:start w:val="1"/>
      <w:numFmt w:val="bullet"/>
      <w:lvlText w:val=""/>
      <w:lvlJc w:val="left"/>
      <w:pPr>
        <w:ind w:left="7200" w:hanging="480"/>
      </w:pPr>
      <w:rPr>
        <w:rFonts w:ascii="Wingdings" w:hAnsi="Wingdings" w:hint="default"/>
      </w:rPr>
    </w:lvl>
  </w:abstractNum>
  <w:abstractNum w:abstractNumId="3" w15:restartNumberingAfterBreak="0">
    <w:nsid w:val="3E4A4B1C"/>
    <w:multiLevelType w:val="hybridMultilevel"/>
    <w:tmpl w:val="5E00A028"/>
    <w:lvl w:ilvl="0" w:tplc="9B408624">
      <w:start w:val="1"/>
      <w:numFmt w:val="bullet"/>
      <w:lvlText w:val="●"/>
      <w:lvlJc w:val="left"/>
      <w:pPr>
        <w:ind w:left="720" w:hanging="360"/>
      </w:pPr>
    </w:lvl>
    <w:lvl w:ilvl="1" w:tplc="9C840CAE">
      <w:start w:val="1"/>
      <w:numFmt w:val="bullet"/>
      <w:lvlText w:val="○"/>
      <w:lvlJc w:val="left"/>
      <w:pPr>
        <w:ind w:left="1440" w:hanging="360"/>
      </w:pPr>
    </w:lvl>
    <w:lvl w:ilvl="2" w:tplc="AB3A7A62">
      <w:start w:val="1"/>
      <w:numFmt w:val="bullet"/>
      <w:lvlText w:val="■"/>
      <w:lvlJc w:val="left"/>
      <w:pPr>
        <w:ind w:left="2160" w:hanging="360"/>
      </w:pPr>
    </w:lvl>
    <w:lvl w:ilvl="3" w:tplc="87E03C44">
      <w:start w:val="1"/>
      <w:numFmt w:val="bullet"/>
      <w:lvlText w:val="●"/>
      <w:lvlJc w:val="left"/>
      <w:pPr>
        <w:ind w:left="2880" w:hanging="360"/>
      </w:pPr>
    </w:lvl>
    <w:lvl w:ilvl="4" w:tplc="54E07CDE">
      <w:start w:val="1"/>
      <w:numFmt w:val="bullet"/>
      <w:lvlText w:val="○"/>
      <w:lvlJc w:val="left"/>
      <w:pPr>
        <w:ind w:left="3600" w:hanging="360"/>
      </w:pPr>
    </w:lvl>
    <w:lvl w:ilvl="5" w:tplc="B1CC6D96">
      <w:start w:val="1"/>
      <w:numFmt w:val="bullet"/>
      <w:lvlText w:val="■"/>
      <w:lvlJc w:val="left"/>
      <w:pPr>
        <w:ind w:left="4320" w:hanging="360"/>
      </w:pPr>
    </w:lvl>
    <w:lvl w:ilvl="6" w:tplc="AAAE55B6">
      <w:start w:val="1"/>
      <w:numFmt w:val="bullet"/>
      <w:lvlText w:val="●"/>
      <w:lvlJc w:val="left"/>
      <w:pPr>
        <w:ind w:left="5040" w:hanging="360"/>
      </w:pPr>
    </w:lvl>
    <w:lvl w:ilvl="7" w:tplc="8CD06EAA">
      <w:start w:val="1"/>
      <w:numFmt w:val="bullet"/>
      <w:lvlText w:val="●"/>
      <w:lvlJc w:val="left"/>
      <w:pPr>
        <w:ind w:left="5760" w:hanging="360"/>
      </w:pPr>
    </w:lvl>
    <w:lvl w:ilvl="8" w:tplc="FBEE9494">
      <w:start w:val="1"/>
      <w:numFmt w:val="bullet"/>
      <w:lvlText w:val="●"/>
      <w:lvlJc w:val="left"/>
      <w:pPr>
        <w:ind w:left="6480" w:hanging="360"/>
      </w:pPr>
    </w:lvl>
  </w:abstractNum>
  <w:abstractNum w:abstractNumId="4" w15:restartNumberingAfterBreak="0">
    <w:nsid w:val="635C7FEF"/>
    <w:multiLevelType w:val="hybridMultilevel"/>
    <w:tmpl w:val="9892A422"/>
    <w:lvl w:ilvl="0" w:tplc="F0C8E7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E2845BC"/>
    <w:multiLevelType w:val="hybridMultilevel"/>
    <w:tmpl w:val="EC8E84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71675B4C"/>
    <w:multiLevelType w:val="hybridMultilevel"/>
    <w:tmpl w:val="912CCA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304964174">
    <w:abstractNumId w:val="3"/>
    <w:lvlOverride w:ilvl="0">
      <w:startOverride w:val="1"/>
    </w:lvlOverride>
  </w:num>
  <w:num w:numId="2" w16cid:durableId="970214040">
    <w:abstractNumId w:val="6"/>
  </w:num>
  <w:num w:numId="3" w16cid:durableId="859903193">
    <w:abstractNumId w:val="5"/>
  </w:num>
  <w:num w:numId="4" w16cid:durableId="1457718362">
    <w:abstractNumId w:val="2"/>
  </w:num>
  <w:num w:numId="5" w16cid:durableId="799811363">
    <w:abstractNumId w:val="0"/>
  </w:num>
  <w:num w:numId="6" w16cid:durableId="1694381275">
    <w:abstractNumId w:val="4"/>
  </w:num>
  <w:num w:numId="7" w16cid:durableId="1249772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0AD"/>
    <w:rsid w:val="0000067E"/>
    <w:rsid w:val="000074ED"/>
    <w:rsid w:val="0002428D"/>
    <w:rsid w:val="0006403B"/>
    <w:rsid w:val="00167C5F"/>
    <w:rsid w:val="00190302"/>
    <w:rsid w:val="001B1A5A"/>
    <w:rsid w:val="001D3EE9"/>
    <w:rsid w:val="00267654"/>
    <w:rsid w:val="00271B7E"/>
    <w:rsid w:val="002A3058"/>
    <w:rsid w:val="003D6BBA"/>
    <w:rsid w:val="003E0F2E"/>
    <w:rsid w:val="004719BC"/>
    <w:rsid w:val="004E5BFD"/>
    <w:rsid w:val="005150AD"/>
    <w:rsid w:val="005A5283"/>
    <w:rsid w:val="005C4F2C"/>
    <w:rsid w:val="005F6E50"/>
    <w:rsid w:val="00607937"/>
    <w:rsid w:val="00630B2A"/>
    <w:rsid w:val="00651728"/>
    <w:rsid w:val="006D4394"/>
    <w:rsid w:val="00760FB2"/>
    <w:rsid w:val="00786DC9"/>
    <w:rsid w:val="008178F3"/>
    <w:rsid w:val="0088425A"/>
    <w:rsid w:val="008A71A0"/>
    <w:rsid w:val="00904E86"/>
    <w:rsid w:val="009912F2"/>
    <w:rsid w:val="00A01762"/>
    <w:rsid w:val="00AC1575"/>
    <w:rsid w:val="00AE5311"/>
    <w:rsid w:val="00CC71FC"/>
    <w:rsid w:val="00D43B55"/>
    <w:rsid w:val="00D67E08"/>
    <w:rsid w:val="00DC1EB5"/>
    <w:rsid w:val="00E3323F"/>
    <w:rsid w:val="00E86430"/>
    <w:rsid w:val="00EB63D9"/>
    <w:rsid w:val="00F25992"/>
    <w:rsid w:val="00F508C1"/>
    <w:rsid w:val="00FC18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C26E9E8"/>
  <w15:docId w15:val="{914A3A77-3FC5-2349-995F-8439A4D2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Times New Roman"/>
      <w:b/>
      <w:bCs/>
      <w:sz w:val="28"/>
      <w:szCs w:val="28"/>
    </w:rPr>
  </w:style>
  <w:style w:type="paragraph" w:styleId="2">
    <w:name w:val="heading 2"/>
    <w:uiPriority w:val="9"/>
    <w:unhideWhenUsed/>
    <w:qFormat/>
    <w:pPr>
      <w:spacing w:before="300" w:after="160"/>
      <w:outlineLvl w:val="1"/>
    </w:pPr>
    <w:rPr>
      <w:rFonts w:eastAsia="Times New Roman"/>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Unresolved Mention"/>
    <w:basedOn w:val="a0"/>
    <w:uiPriority w:val="99"/>
    <w:semiHidden/>
    <w:unhideWhenUsed/>
    <w:rsid w:val="00267654"/>
    <w:rPr>
      <w:color w:val="605E5C"/>
      <w:shd w:val="clear" w:color="auto" w:fill="E1DFDD"/>
    </w:rPr>
  </w:style>
  <w:style w:type="character" w:styleId="ad">
    <w:name w:val="FollowedHyperlink"/>
    <w:basedOn w:val="a0"/>
    <w:uiPriority w:val="99"/>
    <w:semiHidden/>
    <w:unhideWhenUsed/>
    <w:rsid w:val="000640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24</Pages>
  <Words>7649</Words>
  <Characters>45973</Characters>
  <Application>Microsoft Office Word</Application>
  <DocSecurity>0</DocSecurity>
  <Lines>597</Lines>
  <Paragraphs>171</Paragraphs>
  <ScaleCrop>false</ScaleCrop>
  <Company/>
  <LinksUpToDate>false</LinksUpToDate>
  <CharactersWithSpaces>53451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黃崇源</cp:lastModifiedBy>
  <cp:revision>33</cp:revision>
  <dcterms:created xsi:type="dcterms:W3CDTF">2026-03-17T11:34:00Z</dcterms:created>
  <dcterms:modified xsi:type="dcterms:W3CDTF">2026-03-21T15:09:00Z</dcterms:modified>
</cp:coreProperties>
</file>