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hint="eastAsia"/>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bidirectional feedback loop between adoption status and opinion exchange</w:t>
      </w:r>
      <w:r>
        <w:rPr>
          <w:rFonts w:ascii="Arial" w:eastAsia="Times New Roman" w:hAnsi="Arial" w:cs="Arial"/>
        </w:rPr>
        <w:t xml:space="preserve">. In the BCAT model, the opinion exchange rules are conditioned on the adoption statuses of </w:t>
        <w:lastRenderedPageBreak/>
        <w:t>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We agree that the motivating cases deserved deeper treatment. In the revised manuscript, we have inserted 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w:t>
        <w:lastRenderedPageBreak/>
        <w:t>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 xml:space="preserve">The reference entry for Gong et al. (2020) has been corrected with the verified title and </w:t>
        <w:lastRenderedPageBreak/>
        <w:t>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Features shared with the Deffuant tradition: </w:t>
      </w:r>
      <w:r>
        <w:rPr>
          <w:rFonts w:ascii="Arial" w:eastAsia="Times New Roman" w:hAnsi="Arial" w:cs="Arial"/>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Deffuant model: </w:t>
      </w:r>
      <w:r>
        <w:rPr>
          <w:rFonts w:ascii="Arial" w:eastAsia="Times New Roman" w:hAnsi="Arial" w:cs="Arial"/>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HK model: </w:t>
      </w:r>
      <w:r>
        <w:rPr>
          <w:rFonts w:ascii="Arial" w:eastAsia="Times New Roman" w:hAnsi="Arial" w:cs="Arial"/>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w:t>
        <w:lastRenderedPageBreak/>
        <w:t>qualitative behavior.</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X in Section 3): </w:t>
      </w:r>
      <w:r>
        <w:rPr>
          <w:rFonts w:ascii="Arial" w:eastAsia="Times New Roman" w:hAnsi="Arial" w:cs="Arial"/>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Section 2: Clarified the relationship between the BCAT opinion update mechanism and the HK and Deffuant models, with a new comparative table.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 xml:space="preserve">Code and data: Public GitHub repository with Zenodo DOI; Supporting Information files S1–S4 with minimal </w:t>
        <w:lastRenderedPageBreak/>
        <w:t>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20</Pages>
  <Words>7494</Words>
  <Characters>45490</Characters>
  <Application>Microsoft Office Word</Application>
  <DocSecurity>0</DocSecurity>
  <Lines>583</Lines>
  <Paragraphs>159</Paragraphs>
  <ScaleCrop>false</ScaleCrop>
  <Company/>
  <LinksUpToDate>false</LinksUpToDate>
  <CharactersWithSpaces>52825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28</cp:revision>
  <dcterms:created xsi:type="dcterms:W3CDTF">2026-03-17T11:34:00Z</dcterms:created>
  <dcterms:modified xsi:type="dcterms:W3CDTF">2026-03-18T15:30:00Z</dcterms:modified>
</cp:coreProperties>
</file>