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sidRPr="00D43B55">
        <w:rPr>
          <w:rFonts w:eastAsia="Times New Roman"/>
          <w:b/>
          <w:bCs/>
          <w:sz w:val="40"/>
          <w:szCs w:val="40"/>
        </w:rPr>
        <w:t>Response to Reviewers</w:t>
      </w:r>
    </w:p>
    <w:p w14:paraId="350F7593" w14:textId="77777777" w:rsidR="005150AD" w:rsidRPr="00D43B55" w:rsidRDefault="00000000">
      <w:pPr>
        <w:spacing w:after="120"/>
        <w:jc w:val="center"/>
      </w:pPr>
      <w:r w:rsidRPr="00D43B55">
        <w:rPr>
          <w:rFonts w:eastAsia="Times New Roman"/>
          <w:sz w:val="24"/>
          <w:szCs w:val="24"/>
        </w:rPr>
        <w:t>Manuscript ID: PONE-D-26-01398</w:t>
      </w:r>
    </w:p>
    <w:p w14:paraId="2D1E4A0A" w14:textId="77777777" w:rsidR="005150AD" w:rsidRPr="00D43B55" w:rsidRDefault="00000000">
      <w:pPr>
        <w:spacing w:after="480"/>
        <w:jc w:val="center"/>
      </w:pPr>
      <w:r w:rsidRPr="00D43B55">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sidRPr="00D43B55">
        <w:rPr>
          <w:rFonts w:eastAsia="Times New Roman"/>
          <w:sz w:val="24"/>
          <w:szCs w:val="24"/>
        </w:rPr>
        <w:t>Chung-Yuan Huang and Sheng-Wen Wang</w:t>
      </w:r>
    </w:p>
    <w:p w14:paraId="10A1DADF" w14:textId="77777777" w:rsidR="005150AD" w:rsidRPr="00D43B55" w:rsidRDefault="00000000">
      <w:r w:rsidRPr="00D43B55">
        <w:br w:type="page"/>
      </w:r>
    </w:p>
    <w:p w14:paraId="2C566578" w14:textId="77777777" w:rsidR="005150AD" w:rsidRPr="00630B2A" w:rsidRDefault="00000000" w:rsidP="00D43B55">
      <w:pPr>
        <w:pStyle w:val="1"/>
        <w:spacing w:before="0" w:afterLines="100" w:after="240" w:line="360" w:lineRule="auto"/>
        <w:jc w:val="center"/>
      </w:pPr>
      <w:r w:rsidRPr="00630B2A">
        <w:lastRenderedPageBreak/>
        <w:t>Letter to the Academic Editor</w:t>
      </w:r>
    </w:p>
    <w:p w14:paraId="097F78E0" w14:textId="77777777" w:rsidR="005150AD" w:rsidRPr="00D43B55" w:rsidRDefault="00000000" w:rsidP="00630B2A">
      <w:pPr>
        <w:spacing w:afterLines="50" w:after="120" w:line="360" w:lineRule="auto"/>
        <w:rPr>
          <w:sz w:val="24"/>
          <w:szCs w:val="24"/>
        </w:rPr>
      </w:pPr>
      <w:r w:rsidRPr="00D43B55">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sidRPr="00D43B55">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sidRPr="00D43B55">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sidRPr="00D43B55">
        <w:rPr>
          <w:rFonts w:eastAsia="Times New Roman"/>
          <w:sz w:val="24"/>
          <w:szCs w:val="24"/>
        </w:rPr>
        <w:t xml:space="preserve">Below, we provide a point-by-point response to all journal requirements and reviewer comments. Reviewer comments are shown in </w:t>
      </w:r>
      <w:r w:rsidRPr="00D43B55">
        <w:rPr>
          <w:rFonts w:eastAsia="Times New Roman"/>
          <w:i/>
          <w:iCs/>
          <w:sz w:val="24"/>
          <w:szCs w:val="24"/>
        </w:rPr>
        <w:t>gray italics</w:t>
      </w:r>
      <w:r w:rsidRPr="00D43B55">
        <w:rPr>
          <w:rFonts w:eastAsia="Times New Roman"/>
          <w:sz w:val="24"/>
          <w:szCs w:val="24"/>
        </w:rPr>
        <w:t xml:space="preserve">, our responses in regular text, and specific manuscript changes are highlighted in </w:t>
      </w:r>
      <w:r w:rsidRPr="00D43B55">
        <w:rPr>
          <w:rFonts w:eastAsia="Times New Roman"/>
          <w:b/>
          <w:bCs/>
          <w:color w:val="2E75B6"/>
          <w:sz w:val="24"/>
          <w:szCs w:val="24"/>
        </w:rPr>
        <w:t>blue-bordered blocks</w:t>
      </w:r>
      <w:r w:rsidRPr="00D43B55">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sidRPr="00D43B55">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sidRPr="00D43B55">
        <w:rPr>
          <w:rFonts w:eastAsia="Times New Roman"/>
          <w:i/>
          <w:iCs/>
          <w:sz w:val="24"/>
          <w:szCs w:val="24"/>
          <w:u w:val="single"/>
        </w:rPr>
        <w:t>Chung-Yuan Huang and Sheng-Wen Wang</w:t>
      </w:r>
    </w:p>
    <w:p w14:paraId="6AC6E72B" w14:textId="77777777" w:rsidR="005150AD" w:rsidRPr="00D43B55" w:rsidRDefault="00000000">
      <w:r w:rsidRPr="00D43B55">
        <w:br w:type="page"/>
      </w:r>
    </w:p>
    <w:p w14:paraId="20D46D52" w14:textId="77777777" w:rsidR="00904E86" w:rsidRPr="00D43B55" w:rsidRDefault="00000000" w:rsidP="005F6E50">
      <w:pPr>
        <w:pStyle w:val="1"/>
        <w:spacing w:before="0" w:afterLines="50" w:after="120"/>
        <w:rPr>
          <w:sz w:val="24"/>
          <w:szCs w:val="24"/>
        </w:rPr>
      </w:pPr>
      <w:r w:rsidRPr="00D43B55">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sidRPr="00D43B55">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sidRPr="00D43B55">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sidRPr="00D43B55">
        <w:rPr>
          <w:rFonts w:eastAsia="Times New Roman"/>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sidRPr="00D43B55">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sidRPr="00D43B55">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sidRPr="00D43B55">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sidRPr="00D43B55">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sidRPr="00D43B55">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sidRPr="00D43B55">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sidRPr="00D43B55">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sidRPr="00D43B55">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sidRPr="00D43B55">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sidRPr="00D43B55">
        <w:rPr>
          <w:rFonts w:eastAsia="Times New Roman"/>
          <w:color w:val="404040"/>
          <w:sz w:val="24"/>
          <w:szCs w:val="24"/>
        </w:rPr>
        <w:t xml:space="preserve">We note that Figures 2, 4, 5, 6, 10 and 11 in your submission contain copyrighted images. We require you to either (1) present written permission from the copyright </w:t>
      </w:r>
      <w:r w:rsidRPr="00D43B55">
        <w:rPr>
          <w:rFonts w:eastAsia="Times New Roman"/>
          <w:color w:val="404040"/>
          <w:sz w:val="24"/>
          <w:szCs w:val="24"/>
        </w:rPr>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sidRPr="00D43B55">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sidRPr="00D43B55">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sidRPr="00D43B55">
        <w:br w:type="page"/>
      </w:r>
    </w:p>
    <w:p w14:paraId="09E628AB" w14:textId="7CE037D9" w:rsidR="005150AD" w:rsidRPr="00D43B55" w:rsidRDefault="00000000">
      <w:pPr>
        <w:pStyle w:val="1"/>
      </w:pPr>
      <w:r w:rsidRPr="00D43B55">
        <w:lastRenderedPageBreak/>
        <w:t>Part II: Response to Reviewer #1</w:t>
      </w:r>
    </w:p>
    <w:p w14:paraId="5DB2D4ED" w14:textId="77777777" w:rsidR="005150AD" w:rsidRPr="00D43B55" w:rsidRDefault="00000000">
      <w:pPr>
        <w:spacing w:after="160" w:line="360" w:lineRule="auto"/>
      </w:pPr>
      <w:r w:rsidRPr="00D43B55">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rsidRPr="00D43B55">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sidRPr="00D43B55">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sidRPr="00D43B55">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r>
      <w:r w:rsidRPr="00D43B55">
        <w:rPr>
          <w:rFonts w:eastAsia="Times New Roman"/>
        </w:rPr>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sidRPr="00D43B55">
        <w:rPr>
          <w:rFonts w:eastAsia="Times New Roman"/>
        </w:rPr>
        <w:t>Regarding point (b), we now identify emergent properties of the combined model that neither component produces alone. The most important is the</w:t>
      </w:r>
      <w:r w:rsidRPr="00D43B55">
        <w:rPr>
          <w:rFonts w:eastAsia="Times New Roman"/>
          <w:b/>
          <w:bCs/>
        </w:rPr>
        <w:t>bidirectional feedback loop between adoption status and opinion exchange</w:t>
      </w:r>
      <w:r w:rsidRPr="00D43B55">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rsidRPr="00D43B55">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sidRPr="00D43B55">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sidRPr="00D43B55">
        <w:rPr>
          <w:rFonts w:eastAsia="Times New Roman"/>
          <w:b/>
          <w:bCs/>
        </w:rPr>
        <w:t xml:space="preserve">Experiment MD-A (Coordination Failure Isolated). </w:t>
      </w:r>
      <w:r w:rsidRPr="00D43B55">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sidRPr="00D43B55">
        <w:rPr>
          <w:rFonts w:eastAsia="Times New Roman"/>
          <w:b/>
          <w:bCs/>
        </w:rPr>
        <w:t xml:space="preserve">Experiment MD-B (Opinion Clustering Isolated). </w:t>
      </w:r>
      <w:r w:rsidRPr="00D43B55">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sidRPr="00D43B55">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r>
      <w:r w:rsidRPr="00D43B55">
        <w:rPr>
          <w:rFonts w:eastAsia="Times New Roman"/>
        </w:rPr>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rsidRPr="00D43B55">
        <w:t>R1-3. Empirical Grounding</w:t>
      </w:r>
    </w:p>
    <w:p w14:paraId="5974F495"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sidRPr="00D43B55">
        <w:rPr>
          <w:rFonts w:eastAsia="Times New Roman"/>
        </w:rPr>
        <w:t>We agree that the motivating cases deserved deeper treatment. In the revised manuscript, we insertedcase-specific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sidRPr="00D43B55">
        <w:rPr>
          <w:rFonts w:eastAsia="Times New Roman"/>
        </w:rPr>
        <w:t xml:space="preserve">We discuss the Palm case after the avg-of-thresholds paragraph: mainstream consumers required </w:t>
      </w:r>
      <w:r w:rsidRPr="00D43B55">
        <w:rPr>
          <w:rFonts w:eastAsia="Times New Roman"/>
        </w:rPr>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sidRPr="00D43B55">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sidRPr="00D43B55">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sidRPr="00D43B55">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rsidRPr="00D43B55">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sidRPr="00D43B55">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sidRPr="00D43B55">
        <w:rPr>
          <w:rFonts w:eastAsia="Times New Roman"/>
          <w:b/>
          <w:bCs/>
        </w:rPr>
        <w:t xml:space="preserve">Information Cascades (Banerjee, 1992). </w:t>
      </w:r>
      <w:r w:rsidRPr="00D43B55">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sidRPr="00D43B55">
        <w:rPr>
          <w:rFonts w:eastAsia="Times New Roman"/>
          <w:b/>
          <w:bCs/>
        </w:rPr>
        <w:t xml:space="preserve">Network Externalities and Coordination Games (Katz &amp; Shapiro, 1985). </w:t>
      </w:r>
      <w:r w:rsidRPr="00D43B55">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sidRPr="00D43B55">
        <w:rPr>
          <w:rFonts w:eastAsia="Times New Roman"/>
          <w:b/>
          <w:bCs/>
        </w:rPr>
        <w:t xml:space="preserve">Global Games (Morris &amp; Shin, 2003). </w:t>
      </w:r>
      <w:r w:rsidRPr="00D43B55">
        <w:rPr>
          <w:rFonts w:eastAsia="Times New Roman"/>
        </w:rPr>
        <w:t xml:space="preserve">In the global games framework, coordination failure arises from higher-order belief uncertainty: even when all agents hold favorable attitudes, </w:t>
      </w:r>
      <w:r w:rsidRPr="00D43B55">
        <w:rPr>
          <w:rFonts w:eastAsia="Times New Roman"/>
        </w:rPr>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sidRPr="00D43B55">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changes: </w:t>
      </w:r>
      <w:r w:rsidRPr="00D43B55">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rsidRPr="00D43B55">
        <w:t>R1-Minor. Reference Error: Gong et al. (2020)</w:t>
      </w:r>
    </w:p>
    <w:p w14:paraId="7029F8C7"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sidRPr="00D43B55">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sidRPr="00D43B55">
        <w:rPr>
          <w:rFonts w:ascii="新細明體" w:eastAsia="新細明體" w:hAnsi="新細明體" w:cs="新細明體" w:hint="eastAsia"/>
        </w:rPr>
        <w:t>管理科学</w:t>
      </w:r>
      <w:r w:rsidRPr="00D43B55">
        <w:rPr>
          <w:rFonts w:eastAsia="Times New Roman"/>
        </w:rPr>
        <w:t xml:space="preserve">), 2020, volume 33, issue 2, pages 114–126. We corrected this in the revised manuscript and conducted a systematic review </w:t>
      </w:r>
      <w:r w:rsidRPr="00D43B55">
        <w:rPr>
          <w:rFonts w:eastAsia="Times New Roman"/>
        </w:rPr>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w:t>
      </w:r>
      <w:r w:rsidRPr="00D43B55">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rsidRPr="00D43B55">
        <w:br w:type="page"/>
      </w:r>
    </w:p>
    <w:p w14:paraId="20F73DCD" w14:textId="77777777" w:rsidR="005150AD" w:rsidRPr="00D43B55" w:rsidRDefault="00000000">
      <w:pPr>
        <w:pStyle w:val="1"/>
      </w:pPr>
      <w:r w:rsidRPr="00D43B55">
        <w:lastRenderedPageBreak/>
        <w:t>Part III: Response to Reviewer #2</w:t>
      </w:r>
    </w:p>
    <w:p w14:paraId="480A94B9" w14:textId="77777777" w:rsidR="005150AD" w:rsidRPr="00D43B55" w:rsidRDefault="00000000">
      <w:pPr>
        <w:spacing w:after="160" w:line="360" w:lineRule="auto"/>
      </w:pPr>
      <w:r w:rsidRPr="00D43B55">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rsidRPr="00D43B55">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sidRPr="00D43B55">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sidRPr="00D43B55">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sidRPr="00D43B55">
        <w:rPr>
          <w:rFonts w:eastAsia="Times New Roman"/>
          <w:b/>
          <w:bCs/>
        </w:rPr>
        <w:t xml:space="preserve">Part 2: The opinion update mechanism corresponds to the simple bounded confidence Deffuant model, not the Relative Agreement variant. </w:t>
      </w:r>
      <w:r w:rsidRPr="00D43B55">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r>
      <w:r w:rsidRPr="00D43B55">
        <w:rPr>
          <w:rFonts w:eastAsia="Times New Roman"/>
        </w:rPr>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sidRPr="00D43B55">
        <w:rPr>
          <w:rFonts w:eastAsia="Times New Roman"/>
          <w:b/>
          <w:bCs/>
        </w:rPr>
        <w:t xml:space="preserve">Manuscript changes: </w:t>
      </w:r>
      <w:r w:rsidRPr="00D43B55">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sidRPr="00D43B55">
        <w:rPr>
          <w:rFonts w:eastAsia="Times New Roman"/>
          <w:b/>
          <w:bCs/>
        </w:rPr>
        <w:t xml:space="preserve">We emphasize </w:t>
      </w:r>
      <w:r w:rsidRPr="00D43B55">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(revised Section 2, paragraphs on Deffuant model): </w:t>
      </w:r>
      <w:r w:rsidRPr="00D43B55">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lastRenderedPageBreak/>
        <w:t>Manuscript change (new Table 1):</w:t>
      </w:r>
      <w:r w:rsidRPr="00D43B55">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rsidRPr="00D43B55">
        <w:t>R2-2. Update Scheme: Synchronous vs. Asynchronous</w:t>
      </w:r>
    </w:p>
    <w:p w14:paraId="0F19DDC6"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sidRPr="00D43B55">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sidRPr="00D43B55">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in Table 3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(Section 3, Algorithm 3 description): </w:t>
      </w:r>
      <w:r w:rsidRPr="00D43B55">
        <w:rPr>
          <w:rFonts w:eastAsia="Times New Roman"/>
        </w:rPr>
        <w:t xml:space="preserve">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w:t>
      </w:r>
      <w:r w:rsidRPr="00D43B55">
        <w:rPr>
          <w:rFonts w:eastAsia="Times New Roman"/>
        </w:rPr>
        <w:lastRenderedPageBreak/>
        <w:t>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in Table 3 reflect model parameter effects.</w:t>
      </w:r>
    </w:p>
    <w:p w14:paraId="1AB271E9"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rsidRPr="00D43B55">
        <w:t>R2-3. Adoption Threshold Scaling (0–100 vs. 0–1)</w:t>
      </w:r>
    </w:p>
    <w:p w14:paraId="2BDB6E18"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sidRPr="00D43B55">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sidRPr="00D43B55">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(Section 3, threshold definition): </w:t>
      </w:r>
      <w:r w:rsidRPr="00D43B55">
        <w:rPr>
          <w:rFonts w:eastAsia="Times New Roman"/>
        </w:rPr>
        <w:t xml:space="preserve">The Table 2 description for avg-of-thresholds and std-of-thresholds now states: “Threshold values follow the same [1, 100] ≡ [0.01, 1.00] discretization convention as attitude values: in the adoption decision rule </w:t>
      </w:r>
      <w:r w:rsidRPr="00D43B55">
        <w:rPr>
          <w:rFonts w:eastAsia="Times New Roman"/>
        </w:rPr>
        <w:lastRenderedPageBreak/>
        <w:t>(Algorithm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(Table 3):</w:t>
      </w:r>
      <w:r w:rsidRPr="00D43B55">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rsidRPr="00D43B55">
        <w:t>R2-4. Incomplete Statistical Reporting in Table 3</w:t>
      </w:r>
    </w:p>
    <w:p w14:paraId="3F5123DD"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sidRPr="00D43B55">
        <w:rPr>
          <w:rFonts w:eastAsia="Times New Roman"/>
          <w:b/>
          <w:bCs/>
        </w:rPr>
        <w:t xml:space="preserve">(a) Algorithm identification. </w:t>
      </w:r>
      <w:r w:rsidRPr="00D43B55">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sidRPr="00D43B55">
        <w:rPr>
          <w:rFonts w:eastAsia="Times New Roman"/>
          <w:b/>
          <w:bCs/>
        </w:rPr>
        <w:t xml:space="preserve">(b) Uncertainty reporting. </w:t>
      </w:r>
      <w:r w:rsidRPr="00D43B55">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sidRPr="00D43B55">
        <w:rPr>
          <w:rFonts w:eastAsia="Times New Roman"/>
          <w:b/>
          <w:bCs/>
        </w:rPr>
        <w:t xml:space="preserve">(c) Data alignment verification. </w:t>
      </w:r>
      <w:r w:rsidRPr="00D43B55">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r>
      <w:r w:rsidRPr="00D43B55">
        <w:rPr>
          <w:rFonts w:eastAsia="Times New Roman"/>
        </w:rPr>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(Sensitivity Analysis text):</w:t>
      </w:r>
      <w:r w:rsidRPr="00D43B55">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(Table 3):</w:t>
      </w:r>
      <w:r w:rsidRPr="00D43B55">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rsidRPr="00D43B55">
        <w:t>R2-5. Finite-Size Scaling Analysis</w:t>
      </w:r>
    </w:p>
    <w:p w14:paraId="5D1C7024"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sidRPr="00D43B55">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r>
      <w:r w:rsidRPr="00D43B55">
        <w:rPr>
          <w:rFonts w:eastAsia="Times New Roman"/>
        </w:rPr>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w:t>
      </w:r>
      <w:r w:rsidRPr="00D43B55">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rsidRPr="00D43B55">
        <w:t>R2-6. Operational Definition of Critical Mass</w:t>
      </w:r>
    </w:p>
    <w:p w14:paraId="4CE4BF29"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sidRPr="00D43B55">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sidRPr="00D43B55">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sidRPr="00D43B55">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(Results, evaluation metrics subsection): </w:t>
      </w:r>
      <w:r w:rsidRPr="00D43B55">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rsidRPr="00D43B55">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sidRPr="00D43B55">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sidRPr="00D43B55">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sidRPr="00D43B55">
        <w:rPr>
          <w:rFonts w:eastAsia="Times New Roman"/>
          <w:b/>
          <w:bCs/>
        </w:rPr>
        <w:t xml:space="preserve">Voter models with inertia </w:t>
      </w:r>
      <w:r w:rsidRPr="00D43B55">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sidRPr="00D43B55">
        <w:rPr>
          <w:rFonts w:eastAsia="Times New Roman"/>
          <w:b/>
          <w:bCs/>
        </w:rPr>
        <w:lastRenderedPageBreak/>
        <w:t xml:space="preserve">SIS/SIR epidemic frameworks </w:t>
      </w:r>
      <w:r w:rsidRPr="00D43B55">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Manuscript change (Discussion, after alternative theories paragraphs):</w:t>
      </w:r>
      <w:r w:rsidRPr="00D43B55">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rsidRPr="00D43B55">
        <w:t>R2-8. Reference Error: Gong et al. (2020)</w:t>
      </w:r>
    </w:p>
    <w:p w14:paraId="19F3AE28" w14:textId="77777777" w:rsidR="005150AD" w:rsidRPr="00D43B55" w:rsidRDefault="00000000">
      <w:pPr>
        <w:pBdr>
          <w:left w:val="single" w:sz="3" w:space="8" w:color="808080"/>
        </w:pBdr>
        <w:spacing w:after="160" w:line="360" w:lineRule="auto"/>
        <w:ind w:left="480"/>
      </w:pPr>
      <w:r w:rsidRPr="00D43B55">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sidRPr="00D43B55">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sidRPr="00D43B55">
        <w:rPr>
          <w:rFonts w:eastAsia="Times New Roman"/>
          <w:b/>
          <w:bCs/>
          <w:color w:val="2E75B6"/>
        </w:rPr>
        <w:t xml:space="preserve">Manuscript change: </w:t>
      </w:r>
      <w:r w:rsidRPr="00D43B55">
        <w:rPr>
          <w:rFonts w:eastAsia="Times New Roman"/>
        </w:rPr>
        <w:t>The reference entry for Gong et al. (2020) has been corrected. See response to R1-Minor for details.</w:t>
      </w:r>
    </w:p>
    <w:p w14:paraId="6E46947A" w14:textId="77777777" w:rsidR="005150AD" w:rsidRPr="00D43B55" w:rsidRDefault="00000000">
      <w:r w:rsidRPr="00D43B55">
        <w:br w:type="page"/>
      </w:r>
    </w:p>
    <w:p w14:paraId="24BB113F" w14:textId="77777777" w:rsidR="005150AD" w:rsidRPr="00D43B55" w:rsidRDefault="00000000">
      <w:pPr>
        <w:pStyle w:val="1"/>
      </w:pPr>
      <w:r w:rsidRPr="00D43B55">
        <w:lastRenderedPageBreak/>
        <w:t>Part IV: Summary of All Manuscript Changes</w:t>
      </w:r>
    </w:p>
    <w:p w14:paraId="37915A5B" w14:textId="77777777" w:rsidR="005150AD" w:rsidRPr="00D43B55" w:rsidRDefault="00000000">
      <w:pPr>
        <w:spacing w:after="160" w:line="360" w:lineRule="auto"/>
      </w:pPr>
      <w:r w:rsidRPr="00D43B55">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sidRPr="00D43B55">
        <w:rPr>
          <w:rFonts w:eastAsia="Times New Roman"/>
          <w:b/>
          <w:bCs/>
        </w:rPr>
        <w:t xml:space="preserve">1. </w:t>
      </w:r>
      <w:r w:rsidRPr="00D43B55">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sidRPr="00D43B55">
        <w:rPr>
          <w:rFonts w:eastAsia="Times New Roman"/>
          <w:b/>
          <w:bCs/>
        </w:rPr>
        <w:t xml:space="preserve">2. </w:t>
      </w:r>
      <w:r w:rsidRPr="00D43B55">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sidRPr="00D43B55">
        <w:rPr>
          <w:rFonts w:eastAsia="Times New Roman"/>
          <w:b/>
          <w:bCs/>
        </w:rPr>
        <w:t xml:space="preserve">3. </w:t>
      </w:r>
      <w:r w:rsidRPr="00D43B55">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sidRPr="00D43B55">
        <w:rPr>
          <w:rFonts w:eastAsia="Times New Roman"/>
          <w:b/>
          <w:bCs/>
        </w:rPr>
        <w:t xml:space="preserve">4. </w:t>
      </w:r>
      <w:r w:rsidRPr="00D43B55">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sidRPr="00D43B55">
        <w:rPr>
          <w:rFonts w:eastAsia="Times New Roman"/>
          <w:b/>
          <w:bCs/>
        </w:rPr>
        <w:t xml:space="preserve">5. </w:t>
      </w:r>
      <w:r w:rsidRPr="00D43B55">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sidRPr="00D43B55">
        <w:rPr>
          <w:rFonts w:eastAsia="Times New Roman"/>
          <w:b/>
          <w:bCs/>
        </w:rPr>
        <w:t xml:space="preserve">6. </w:t>
      </w:r>
      <w:r w:rsidRPr="00D43B55">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sidRPr="00D43B55">
        <w:rPr>
          <w:rFonts w:eastAsia="Times New Roman"/>
          <w:b/>
          <w:bCs/>
        </w:rPr>
        <w:t xml:space="preserve">7. </w:t>
      </w:r>
      <w:r w:rsidRPr="00D43B55">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sidRPr="00D43B55">
        <w:rPr>
          <w:rFonts w:eastAsia="Times New Roman"/>
          <w:b/>
          <w:bCs/>
        </w:rPr>
        <w:lastRenderedPageBreak/>
        <w:t xml:space="preserve">8. </w:t>
      </w:r>
      <w:r w:rsidRPr="00D43B55">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sidRPr="00D43B55">
        <w:rPr>
          <w:rFonts w:eastAsia="Times New Roman"/>
          <w:b/>
          <w:bCs/>
        </w:rPr>
        <w:t xml:space="preserve">9. </w:t>
      </w:r>
      <w:r w:rsidRPr="00D43B55">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sidRPr="00D43B55">
        <w:rPr>
          <w:rFonts w:eastAsia="Times New Roman"/>
          <w:b/>
          <w:bCs/>
        </w:rPr>
        <w:t xml:space="preserve">10. </w:t>
      </w:r>
      <w:r w:rsidRPr="00D43B55">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sidRPr="00D43B55">
        <w:rPr>
          <w:rFonts w:eastAsia="Times New Roman"/>
          <w:b/>
          <w:bCs/>
        </w:rPr>
        <w:t xml:space="preserve">11. </w:t>
      </w:r>
      <w:r w:rsidRPr="00D43B55">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sidRPr="00D43B55">
        <w:rPr>
          <w:rFonts w:eastAsia="Times New Roman"/>
          <w:b/>
          <w:bCs/>
        </w:rPr>
        <w:t xml:space="preserve">12. </w:t>
      </w:r>
      <w:r w:rsidRPr="00D43B55">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sidRPr="00D43B55">
        <w:rPr>
          <w:rFonts w:eastAsia="Times New Roman"/>
          <w:b/>
          <w:bCs/>
        </w:rPr>
        <w:t xml:space="preserve">13. </w:t>
      </w:r>
      <w:r w:rsidRPr="00D43B55">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sidRPr="00D43B55">
        <w:rPr>
          <w:rFonts w:eastAsia="Times New Roman"/>
          <w:b/>
          <w:bCs/>
        </w:rPr>
        <w:t xml:space="preserve">14. </w:t>
      </w:r>
      <w:r w:rsidRPr="00D43B55">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sidRPr="00D43B55">
        <w:rPr>
          <w:rFonts w:eastAsia="Times New Roman"/>
          <w:b/>
          <w:bCs/>
        </w:rPr>
        <w:t xml:space="preserve">15. </w:t>
      </w:r>
      <w:r w:rsidRPr="00D43B55">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sidRPr="00D43B55">
        <w:rPr>
          <w:rFonts w:eastAsia="Times New Roman"/>
          <w:b/>
          <w:bCs/>
        </w:rPr>
        <w:t xml:space="preserve">16. </w:t>
      </w:r>
      <w:r w:rsidRPr="00D43B55">
        <w:rPr>
          <w:rFonts w:eastAsia="Times New Roman"/>
        </w:rPr>
        <w:t>Code and data: Public GitHub repository with Zenodo DOI; Supporting Information files S1–S4 with minimal data set. (Responding to JR-2, JR-4)</w:t>
      </w:r>
    </w:p>
    <w:p w14:paraId="3B000017" w14:textId="77777777" w:rsidR="005150AD" w:rsidRPr="00D43B55" w:rsidRDefault="00000000">
      <w:pPr>
        <w:spacing w:after="160" w:line="360" w:lineRule="auto"/>
        <w:ind w:left="480"/>
      </w:pPr>
      <w:r w:rsidRPr="00D43B55">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sidRPr="00D43B55">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sidRPr="00D43B55">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sidRPr="00D43B55">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sidRPr="00D43B55">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sidRPr="00D43B55">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sidRPr="00D43B55">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sidRPr="00D43B55">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sidRPr="00D43B55">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sidRPr="00D43B55">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sidRPr="00D43B55">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sidRPr="00D43B55">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sidRPr="00D43B55">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sidRPr="00D43B55">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sidRPr="00D43B55">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sidRPr="00D43B55">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sidRPr="00D43B55">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