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Analysis of MCP-Native Governance Fabrics within the 2026 Agentic AI and Adversarial Machine Learning Research Landscape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rapid transition from conversational artificial intelligence to autonomous agentic systems represents a fundamental paradigm shift in computational infrastructure, necessitating a complete reimagining of governance, security, and interoperability standards. The project under review—an MCP-native governance fabric—addresses this transition by utilizing the Model Context Protocol (MCP) as the "central nervous system" for managing high-stakes offensive security operations and penetration testing. By late 2024, MCP emerged as the "USB-C for Agentic AI," a standard that successfully decoupled model reasoning from tool execution and data retrieval. However, as AI systems move from isolated text generation to active environmental interaction, research indicates that the attack surface expands proportionally, introducing execution-layer vulnerabilities that traditional model-level guardrails are ill-equipped to handle. This report provides an exhaustive analysis of the project's specification against the current 2025–2026 research landscape, evaluating its architectural integrity, security primitives, and regulatory alignment.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Architectural Foundations and the Model Context Protocol Standard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of the project's architecture is the three-tier MCP structure, consisting of a Host (the command console), a Client (the AI orchestrator), and multiple Servers (encapsulating specific tools). This design solves the "M x N integration problem," where historically every new AI model required bespoke adapters for every external tool or database. By standardizing communication via JSON-RPC 2.0, the protocol allows any model to connect to any data source without custom connectors, effectively eliminating "vertical lock-in" to specific middleware vendors. Research from early 2026 identifies this decoupling as a "context-driven control flow" paradigm, where the system's behavior is determined by the semantic interpretation of retrieved context rather than static code.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context of offensive security, the project leverages Domain-Driven Design (DDD) to partition the penetration testing lifecycle into "Bounded Contexts," such as Reconnaissance and Exploitation. This microservices-based approach ensures that capabilities are modular and that governance can be applied with granular precision. The "Host" serves as the ultimate gatekeeper, implementing a Human-in-the-Loop (HITL) model where explicit user consent is required before the AI can execute sensitive tool calls. This is consistent with the NIST AI Risk Management Framework (AI RMF), which emphasizes human oversight for high-consequence actions.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Comparison of Integration Paradigms in Autonomous Systems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Legacy RESTful Integration</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Context Protocol (MCP)</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Agent-to-Agent (A2A)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Coupling Type</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Static / Tight</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 / Loose</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Multi-hop / Distributed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Discovery Mechanism</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Hard-coded endpoints</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tools/list runtime discovery</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Peer-to-peer advertising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Security Layer</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 Keys / OAuth 2.0</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Scoped OAuth 2.1 / PKCE</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Zero-Trust Capability Tokens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State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Stateless (External DB)</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Protocol-level resources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Distributed memory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Interoperability</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(Custom adapters)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(Universal standard)</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Emerging (Framework dependent)</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transition to MCP-native DAM (Digital Asset Management) and offensive security stacks represents a move away from "bolted-on" connectors toward foundational protocol-driven architectures. Research suggests that by treating content and tools as modular, queryable resources, enterprises can reduce token waste and latency while establishing a clear audit trail for every request an agent makes. This is particularly critical in regulated sectors like healthcare and finance, where "black-box" models are increasingly unacceptable and the ability to explain a decision is a legal requirement.</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Adversarial Machine Learning and Execution-Layer Vulnerabilities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primary challenge identified in 2025–2026 research is the convergence of security and safety failures in agentic systems. Traditional security focuses on protecting against malicious adversaries, while safety focuses on preventing unintended behaviors. In an MCP-native ecosystem, an "Indirect Prompt Injection" (a security breach) can trigger a "Safety Failure," where a model mistakenly but honestly believes it is authorized to perform a harmful action, such as deleting a database, because it was instructed to do so by a poisoned external document.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project's specification addresses these risks through several layers of defense. The "Hardened Execution" layer confines all tool calls to OS-level isolation, such as Linux containers with seccomp syscall filtering and read-only filesystem mounts. Research has shown that software-layer access controls can be bypassed by sophisticated prompt injections, whereas physical isolation is orthogonal to agent semantics. This is a critical defense against the "Trusted Executor Dilemma," where agents fail to distinguish between legitimate setup guidance and malicious directives embedded in project documentation.</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Taxonomy of Security Risks in Agentic Architectures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research identifies a systematic gap in existing defenses, which predominantly operate at the text-generation layer and fail to intercept execution-layer threats. The project's specification aligns with the emerging "Layered Governance Architecture" (LGA), which categorizes risks into several primary vectors.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Threat Class</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Mechanism of Attack</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Countermeasure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Indirect Prompt Injection</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Malicious instructions embedded in fetched context (emails, files).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Intent Verification Judges (Layer 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RAG Poisoning</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Contaminating knowledge bases to manipulate reasoning.</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 Isolation &amp; Schema Checks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Malicious Skill Plugins</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MCP servers with "logic bombs" or malicious tool definitions.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Registry Whitelisting &amp; Sandboxing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Confused Deputy</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Exploiting an agent's valid permissions for unauthorized actions.</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Scoped Access Control (OAuth 2.1)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Context Confusion</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Ambiguity between trusted policy and untrusted external data.</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Segregation of Prompts &amp; Inputs</w:t>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project's implementation of OAuth 2.1 with Proof Key for Code Exchange (PKCE) is a significant improvement over standard API key management. Research reveals that unmanaged agent identities are the "biggest gap" in current security stacks, with 88% of organizations reporting confirmed or suspected AI agent security incidents in 2025. By treating each agent as a first-class "Non-Human Identity" (NHI) with a Decentralized Identifier (DID), the fabric addresses the "Identity Crisis" where agents previously shared credentials or relied on generic service accounts.</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Governance State Machine and Lyapunov Stability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most advanced second-order insights from the research involves the transition from reward-based reinforcement learning to "Invariant-Governed" architectures. The Taleken Ultra Unified Framework (TUUF) and its implementation, the Quantum Brain Network (QBN v8), introduce a 12-step governance state machine known as TSTL (Traffic-Light Governance System). This replaces conventional binary safety models with a comprehensive cycle of escalation, intervention, and recovery.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project's "Governance State Machine" appears to align with this paradigm, ensuring that only "admissible trajectories" are permitted to evolve. Stability in such systems is mathematically instrumented through a composite Lyapunov functional: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architectural goal is to ensure that \frac{dV}{dt} &lt; 0, signifying that the system remains within bounded, identity-preserving trajectories even under adversarial stress. This pre-dynamical governing principle allows the fabric to prevent unsafe behaviors before they manifest, rather than reacting to errors after they have been committed.</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12-Step TSTL Governance Lifecycle (2026 Standard)</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Grouping</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TSTL Steps</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Designation</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Admissibility</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Steps 1–2</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GREEN</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Stable operation within defined bounds.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Monitoring</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3</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BLUE</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Continuous observation of decision drift.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Pre-Intervention</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Steps 4–5</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AMBER</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Threshold functional \Delta(t) warning.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Active Correction</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Steps 6–7</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RED</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Intervention and trajectory re-routing.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Validation</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Steps 8–10</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BLUE</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Diagnostics and post-intervention audit.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Restoration</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Steps 11–12</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GREEN</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Recovery of normal operating status.</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systematic approach is essential for offensive AI platforms, where an uncontrolled agent could inadvertently cause cascading failures in target infrastructure or violate legal engagement boundaries. The project's use of "Token Messenger Patterns"—where a tool generates a cryptographically secure token upon success that is required for the next step—implements "Monotonic Narrowing". This ensures that an agent cannot escalate its own privileges and that the sequence of events follows a verifiable, logical path.</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Regulatory Alignment and the EU AI Act Compliance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August 2, 2026, the European Union's AI Act becomes fully operational, imposing strict requirements on "High-Risk" AI systems. The project's penetration testing use case likely falls under Annex III, which includes AI systems used in essential services and law enforcement. This classification mandates the establishment of a documented risk management system, robust data governance, and detailed technical documentation throughout the system's lifecycle.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project's "Evidence Server" is a strategic asset for meeting these requirements. Research indicates that "Governance Architecture is becoming evidentiary," where in the event of an enforcement action, the control design and audit logs will shape liability assessments. In 2026, audit trails must record not only </w:t>
      </w:r>
      <w:r w:rsidDel="00000000" w:rsidR="00000000" w:rsidRPr="00000000">
        <w:rPr>
          <w:i w:val="1"/>
          <w:iCs w:val="1"/>
          <w:rtl w:val="0"/>
        </w:rPr>
        <w:t xml:space="preserve">what</w:t>
      </w:r>
      <w:r w:rsidDel="00000000" w:rsidR="00000000" w:rsidRPr="00000000">
        <w:rPr>
          <w:rtl w:val="0"/>
        </w:rPr>
        <w:t xml:space="preserve"> was done, but </w:t>
      </w:r>
      <w:r w:rsidDel="00000000" w:rsidR="00000000" w:rsidRPr="00000000">
        <w:rPr>
          <w:i w:val="1"/>
          <w:iCs w:val="1"/>
          <w:rtl w:val="0"/>
        </w:rPr>
        <w:t xml:space="preserve">why</w:t>
      </w:r>
      <w:r w:rsidDel="00000000" w:rsidR="00000000" w:rsidRPr="00000000">
        <w:rPr>
          <w:rtl w:val="0"/>
        </w:rPr>
        <w:t xml:space="preserve"> it was done, including the agent's reasoning process and referenced data sources.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EU AI Act Compliance Timeline and Requirements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Milestone Date</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 Provision</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Applicability to Agentic Systems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Feb 2, 2025</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Chapters I &amp; II</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Prohibitions on manipulative or deceptive AI.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Aug 2, 2025</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V &amp; XII</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Obligations for General-Purpose AI (GPAI) models.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Aug 2, 2026</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Application</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Enforcement of all High-Risk system requirements.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Aug 2, 2027</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Article 6(1)</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Embedded systems in harmonized products.</w:t>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project's integration of "Human-in-the-Loop" (HITL) approval gates is a direct response to Article 14 of the AI Act, which requires high-risk systems to be overseen by natural persons to prevent or minimize risks to health, safety, and fundamental rights. Furthermore, the requirement for an "Immutable Audit Log" (Layer 4 of the LGA) satisfies Article 12, ensuring that every interaction can be reconstructed for judicial or regulatory review.</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Trajectory Monitoring and Diagnostic Guardrails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conducted in 2025 and 2026 reveals that single-turn content moderation (such as Llama Guard) is insufficient for agentic systems. Because agents interact with tools and memory across multi-turn sessions, risks often emerge mid-trajectory from seemingly safe but unreasonable planning steps. The "AgentDoG" framework represents the current state-of-the-art in "Trajectory-Level Monitoring," providing fine-grained diagnosis of why a risk arises (source), how it manifests (failure mode), and what harm it causes.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project's specification for continuous monitoring and observability within the "MCP-Native Governance Fabric" is aligned with these findings. To be fully effective, the monitoring layer must be "risk-aware," tracing the root cause of an action back to specific planning steps or tool selections. This is particularly important for detecting "Long-Horizon Instruction Hijacking" and "Tool Misuse after Benign Prefixes," which are common strategies used by adversaries to bypass simple filters.</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Performance Metrics for Diagnostic Guardrails (ATBench 2026)</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ATBench (Agent Trajectory Safety and Security Benchmark) evaluates agents on multi-turn scenarios with an average of 8.97 agent–environment exchanges.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Framework</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Accuracy</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Precision</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Recall</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 Source Attribution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AgentDoG-Qwen3-4B</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92.8%</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90.5%</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95.6%</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ShieldAgent</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76.0%</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72.1%</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78.4%</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GPT-5.2 (General)</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90.0%</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88.4%</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91.2%</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LlamaGuard 4</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58.1%</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55.6%</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60.2%</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bl>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project's specification for a "Governance Fabric" that validates tools against a centralized knowledge base (including CVEs and MITRE ATT&amp;CK) provides the necessary grounding for these diagnostic layers. By instrumenting agents to log reasoning traces alongside outputs, the project creates "Audit-Ready Evidence" that can be verified by independent judge models, fulfilling the "Relational Autonomy" model where an agent proves its reliability through observable commitment to its reasoning.</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Operational Reliability and the Partial Completion Trap</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failure mode in autonomous systems is the "Partial Completion Trap," where an agent successfully executes a portion of a workflow but fails before reaching a stable end state. Research indicates that if an agent debits one account but fails to credit another, a simple restart is not a "clean slate" and may lead to duplicate side effects. The project's specification for "State and Workflow Management" using Redis and structured tokens must therefore include a "Saga Pattern" for transaction recovery.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saga breaks a long-running workflow into a sequence of independently committed steps, each with a corresponding "compensating operation". In the offensive security context, if a "Rollback Trigger" is detected—such as a network delay or an unauthorized database change—the system must execute these compensations in reverse order to return the environment to its starting state. This "Backward Recovery" ensures that the platform remains an asset and not a liability.</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Reliability Comparison: AI Agents vs. Traditional Automation (2026)</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Automation (RPA)</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Autonomous AI Agents</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MCP-Native Transactional Agents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Reliability Model</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Deterministic (Rule-based)</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Probabilistic (LLM-based)</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Governed (Invariant-based)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Failure Handling</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Exception catching / Stop</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Partial completion / Drift</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Automated Rollback / Saga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Success Rate</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99%+ (Low complexity)</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70-85% (High complexity)</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 (High complexity)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Recovery Mode</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 intervention</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Non-deterministic retry</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Verified Forward/Backward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Governance Debt</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(Brittle scripts)</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(Implicit)</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(By design)</w:t>
            </w:r>
          </w:p>
        </w:tc>
      </w:tr>
    </w:tbl>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Industry benchmarks from 2026 show that "Agents earn autonomy through demonstrated accuracy—and lose it when they fail". The project's strategy of a "Phased Deployment," starting with a single "Bounded Context" like Policy Reconnaissance, is an excellent risk mitigation tactic. This allows for the calculation of the system's "Robustness Index" (RI)—the area under the accuracy-perturbation curve—before it is granted autonomy over more critical exploitation functions.</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Evidence Server and Accountability Standards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project's requirement for a "Centralized Evidence Server" located behind a firewall is a foundational component for legal and ethical accountability. In 2026, investigations into AI-mediated financial crime or security breaches must answer four sequential questions: Who controlled the signing authority? Who configured the agent's rules? Who benefited economically? And was the deployment reckless or intentional?.</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"Evidence Server" must utilize cryptographic audit trails to prove the integrity of digital proof. Research highlights that "Secondary Electronic Evidence" (such as server logs or forensic images) must be subjected to rigorous authentication protocols, including cryptographic hashes (SHA-256 is the 2026 standard), before it is admissible for judicial consideration.</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Cryptographic Evidence Management Best Practices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project's "Evidence Locker" functionality should incorporate the following mechanisms to guarantee data integrity :</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Mechanism</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Implementation</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Purpose in Governance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Hashing</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SHA-256/3 for every minute of log data.</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that logs remain unaltered.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Time-Stamping</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Blockchain-anchored timestamps.</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Prove the exact sequence of events.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Forensic Imaging</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Bit-by-bit copy of all tool outputs.</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Preservation of primary evidence.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Redaction</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Automated blurring of PII in logs.</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Compliance with GDPR and privacy laws.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Watermarking</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Metadata injection in AI outputs.</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Traceability of synthetic media/code.</w:t>
            </w:r>
          </w:p>
        </w:tc>
      </w:tr>
    </w:tbl>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the integration of "Virtual Data Rooms" (VDRs) as the compliance backbone for enterprises in 2026 allows for secure, role-based access to these audit trails. This ensures that while the internal audit team can review the full reasoning trace of a penetration test, the external client can only see the final report and the high-level policy violations.</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 and Strategic Recommendations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project's specification for an MCP-native governance fabric is structurally sound and demonstrates a nuanced understanding of the evolving agentic AI landscape. By leveraging the standardization of MCP, the fabric addresses the critical integration and identity challenges that currently hinder the adoption of autonomous agents in enterprise environments. However, to meet the 100% "State-of-the-Art" threshold of 2026, several second-order enhancements are recommended.</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the fabric should evolve from a reactive monitoring system to an invariant-governed architecture using the TUUF 12-step state machine. This provides a mathematical basis for stability that is far more robust than simple threshold-based alerts. Second, the "Intent Verification" layer should be instantiated as a cascading judge model, combining small local models for speed with frontier cloud models (like GPT-5.2 or Gemini 3 Pro) for complex escalations. This ensures high interception rates for adversarial context injection without significantly increasing latency.</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Third, the project must explicitly implement the "Saga Pattern" for transactional integrity, ensuring that the "Partial Completion Trap" does not leave target systems in unstable states. Finally, the "Evidence Server" must be architected as a "Trustless Agent Registry" (utilizing standards like ERC-8004/8183), where the agent's identity and reputation are verified through cryptographic proof rather than soft trust. By incorporating these elements, the project will not only fulfill the requirements of the EU AI Act and NIST frameworks but will also establish a new benchmark for responsible, autonomous offensive AI operations.</w:t>
      </w:r>
    </w:p>
    <w:p w:rsidR="00000000" w:rsidDel="00000000" w:rsidP="00000000" w:rsidRDefault="00000000" w:rsidRPr="00000000" w14:paraId="000000C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Systematization of Knowledge: Security and Safety in the Model Context Protocol Ecosystem, https://arxiv.org/html/2512.08290v1 2. The Attack and Defense Landscape of Agentic AI: A Comprehensive Survey - arXiv, https://arxiv.org/html/2603.11088v1 3. AI Penetration Testing MCP Patterns, https://drive.google.com/open?id=1dOk6d61t8dphH2y2dXck-zqT-xdOg2WB8mAEQpEp-bo 4. Governance Architecture for Autonomous Agent Systems: Threats, Framework, and Engineering Practice - arXiv, https://arxiv.org/html/2603.07191v1 5. Governance Architecture for Autonomous Agent Systems: Threats, Framework, and Engineering Practice - arXiv.org, https://arxiv.org/html/2603.07191v2 6. What is Model Context Protocol (MCP)? A guide | Google Cloud, https://cloud.google.com/discover/what-is-model-context-protocol 7. The MCP Standard and the Death of Integration Lock-In: What PE Operating Partners Need to Know About Agent Interoperability | MLVeda, https://www.mlveda.com/blog/the-mcp-standard-and-the-death-of-integration-lock-in-what-pe-operating-partners-need-to-know-about-agent-interoperability 8. 2025 Responsible AI Transparency Report - Microsoft, https://www.microsoft.com/en-us/corporate-responsibility/responsible-ai-transparency-report/ 9. NIST AI Risk Management Framework: A Complete Guide for US Organisations - GAICC, https://gaicc.org/blog/nist-ai-risk-management-framework/ 10. FileSpin Launches MCP-Native DAM Infrastructure for Autonomous Media Workflows, https://www.newswire.ca/news-releases/filespin-launches-mcp-native-dam-infrastructure-for-autonomous-media-workflows-854772559.html 11. How to Integrate MCP into Existing Enterprise Systems - Lucidworks, https://lucidworks.com/blog/how-to-integrate-mcp-into-existing-enterprise-systems 12. Exploring MCP: How Model Context Protocol supports the future of agentic healthcare, https://www.wolterskluwer.com/en/expert-insights/exploring-mcp-how-model-context-protocol-supports-the-future-of-agentic-healthcare 13. AI PaaS: Analysis and Outlook, https://drive.google.com/open?id=1ynntp8vC0_wVufxJTXnTames1y9B7-jF95iagMsoRwY 14. TRiSM for Agentic AI: A Review of Trust, Risk, and Security Management in LLM-based Agentic Multi-Agent Systems - arXiv, https://arxiv.org/html/2506.04133v2 15. Not What You've Signed Up For: Compromising Real-World LLM-Integrated Applications with Indirect Prompt Injection | Request PDF - ResearchGate, https://www.researchgate.net/publication/375922663_Not_What_You've_Signed_Up_For_Compromising_Real-World_LLM-Integrated_Applications_with_Indirect_Prompt_Injection 16. Security Best Practices - Model Context Protocol, https://modelcontextprotocol.io/docs/tutorials/security/security_best_practices 17. Palo Alto Unit 42 Just Said It: Agentic Identity Is a Difficult Problem. OAuth2 Has Blind Spots., https://dev.to/thenexusguard/palo-alto-unit-42-just-said-it-agentic-identity-is-a-difficult-problem-oauth2-has-blind-spots-3a6l 18. State of AI Agent Security 2026 Report: When Adoption Outpaces Control - Gravitee, https://www.gravitee.io/blog/state-of-ai-agent-security-2026-report-when-adoption-outpaces-control 19. MCP in AI: What is Model Context Protocol? - Okta, https://www.okta.com/identity-101/mcp-in-ai/ 20. (PDF) The Taleken Ultra Unified Framework (TUUF) and the ..., https://www.researchgate.net/publication/402948740_The_Taleken_Ultra_Unified_Framework_TUUF_and_the_Quantum_Brain_Network_QBN_v8_An_Invariant-Governed_Architecture_for_Identity-Preserving_Stability-Guaranteed_Autonomous_Systems 21. H4RB1NG3R/README_v0.05.md at main · Tuesdaythe13th, https://github.com/Tuesdaythe13th/H4RB1NG3R/blob/main/README_v0.05.md 22. Enterprise-grade Agentic AI: Secure, Governed, and Sovereign by Design - Atos, https://atos.net/wp-content/uploads/2026/03/atos-agentic-ai-whitepaper.pdf 23. EU AI Act 2026 Updates: Compliance Requirements and Business Risks - Legal Nodes, https://www.legalnodes.com/article/eu-ai-act-2026-updates-compliance-requirements-and-business-risks 24. AI Governance and Regulation 2026: A Complete Guide to Global Frameworks, https://www.hungyichen.com/en/insights/ai-governance-regulatory-landscape-2026 25. New Guidance under the EU AI Act Ahead of its Next Enforcement Date - Pearl Cohen, https://www.pearlcohen.com/new-guidance-under-the-eu-ai-act-ahead-of-its-next-enforcement-date/ 26. EU AI Act 2026: What companies need to know now | Ventum Consulting, https://www.ventum-consulting.com/en/news/eu-ai-act-2026/ 27. rubiq case study, https://www.rubiqbiz.com/wp-content/uploads/2024/06/RUBIQ-ACE-Case-Study_Intdev_June24.pdf 28. Autonomous AI Agents and Financial Crime: Risk, Responsibility, and Accountability, https://www.trmlabs.com/resources/blog/autonomous-ai-agents-and-financial-crime-risk-responsibility-and-accountability 29. Vietnam's New Digital Law: Sovereignty Strategy or Business Barrier?, https://gammalaw.com/vietnams-new-digital-law-sovereignty-strategy-or-business-barrier/ 30. NIST AI Agent Standards | MI - 超智諮詢, https://www.meta-intelligence.tech/en/insight-nist-agent-standards 31. AI45Lab/AgentDoG: A Diagnostic Guardrail Framework for AI Agent Safety and Security - GitHub, https://github.com/AI45Lab/AgentDoG 32. AI45Research/AgentDoG-FG-Qwen2.5-7B - Hugging Face, https://huggingface.co/AI45Research/AgentDoG-FG-Qwen2.5-7B 33. Paper page - AgentDoG: A Diagnostic Guardrail Framework for AI Agent Safety and Security, https://huggingface.co/papers/2601.18491 34. AI45Research/AgentDoG-Qwen3-4B - Hugging Face, https://huggingface.co/AI45Research/AgentDoG-Qwen3-4B 35. AgentDoG: A Diagnostic Guardrail Framework for AI Agent Safety and Security - arXiv, https://arxiv.org/abs/2601.18491 36. ATBench: Agent Trajectory Safety Benchmark - Emergent Mind, https://www.emergentmind.com/topics/atbench-benchmark 37. u/Janusz | moltbook, https://www.moltbook.com/u/Janusz 38. Finance AI Governance: Best Practices for CFOs to Ensure Compliance and Speed, https://everworker.ai/blog/finance_ai_governance_cfo_best_practices 39. Your AI Agent Didn't Fail — It Stopped Halfway | by Zenefa Rahaman, PhD - Medium, https://medium.com/data-science-collective/your-ai-agent-didnt-fail-it-stopped-halfway-cc5a6cc58b0c 40. Agentic AI For Network Management: Autonomous Troubleshooting And Configuration Through MCP Servers - jicrcr, https://jicrcr.com/index.php/jicrcr/article/download/3586/3036/7781 41. AgriRemediate-AI: Autonomous Crop Health Remediation with LangGraph Transactional Micro-Agents - DEV Community, https://dev.to/exploredataaiml/agriremediate-ai-autonomous-crop-health-remediation-with-langgraph-transactional-micro-agents-1phk 42. Autonoma - The Governed Autonomous Software Development Platform, https://www.theautonoma.io/ 43. [2602.06395] Empirical Analysis of Adversarial Robustness and Explainability Drift in Cybersecurity Classifiers - arXiv.org, https://arxiv.org/abs/2602.06395 44. Evaluating the SUFREE Framework for Ethical Digital Forensics in Indonesia - IIETA, https://iieta.org/download/file/fid/191026 45. Deepfakes, AI, and Cloud Forensics: Rethinking the Admissibility of Secondary Electronic Evidence in India and the United States - IJNRD, https://ijnrd.org/papers/IJNRD2512168.pdf 46. Surveillance Digital Evidence Management - Synectics, https://synecticsglobal.com/resources/evidence-management 47. Forensic Imaging Vs Cloning - Key Differences In Digital Evidence Collection, https://www.proaxissolutions.com/blog/forensic-imaging-vs-cloning 48. Virtual Data Rooms in 2026: The New Compliance Backbone | CapLinked, https://www.caplinked.com/blog/virtual-data-rooms-in-2026-the-new-compliance-backbone/ 49. Kong Introduces MCP Registry in Kong Konnect to Power AI Connectivity for Agent Discovery and Governance - PR Newswire, https://www.prnewswire.com/news-releases/kong-introduces-mcp-registry-in-kong-konnect-to-power-ai-connectivity-for-agent-discovery-and-governance-302676451.html 50. AI Agent Economic Infrastructure Research Report (Part One) | Odaily星球日报 on Binance Square, https://www.binance.com/en/square/post/303182113532129</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