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5fa8"/>
          <w:sz w:val="56"/>
          <w:szCs w:val="56"/>
        </w:rPr>
        <w:t xml:space="preserve">MediAI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26070"/>
          <w:sz w:val="30"/>
          <w:szCs w:val="30"/>
        </w:rPr>
        <w:t xml:space="preserve">Akıllı Teşhis ve Tedavi Sistemi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a9aaa"/>
          <w:sz w:val="24"/>
          <w:szCs w:val="24"/>
        </w:rPr>
        <w:t xml:space="preserve">Swagger API Dokümantasyonu &amp; Lokal Test Raporu</w:t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Hazırlayan: Cansude Sayın (Scrum Master)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26070"/>
          <w:sz w:val="22"/>
          <w:szCs w:val="22"/>
        </w:rPr>
        <w:t xml:space="preserve">Siber Şifacılar Ekibi — Haziran 2026</w:t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1. Swagger API Dokümantasyonu — Genel Bakış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MediAI API'si, Swagger UI (OpenAPI 3.0) standardı kullanılarak dokümante edilmiştir. Flask sunucusu çalıştırıldığında http://localhost:5000/api/docs adresinden interaktif API dokümantasyonuna erişilmektedir.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Aşağıdaki ekran görüntüsünde API'nin genel yapısı görülmektedir: 3 ana kategori (Hasta Yönetimi, Görüntü Analizi, Tedavi Planı) ve toplam 5 endpoint tanımlanmıştır.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733675"/>
            <wp:effectExtent t="0" r="0" b="0" l="0"/>
            <wp:docPr id="1" name="img" descr="Swagger ekran görüntüsü" title="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2. Endpoint Listesi ve Kategoriler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 5 adet RESTful endpoint içermektedir. Görüntü Analizi ve Tedavi Planı kategorileri aşağıda gösterilmektedir. Her endpoint için HTTP metodu, yol ve açıklama Swagger arayüzünde detaylı olarak tanımlanmıştır.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667000"/>
            <wp:effectExtent t="0" r="0" b="0" l="0"/>
            <wp:docPr id="1" name="img" descr="Swagger ekran görüntüsü" title="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3. Hasta Yönetimi — Endpoint Detayları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3.1 POST /api/v1/hastalar — Yeni Hasta Kaydı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Doktorun arayüzden gönderdiği hasta bilgilerini (yaş, cinsiyet, hastalık geçmişi, diyabet durumu, kan değerleri) MySQL Patients tablosuna kaydeder. KVKK gereği isim/TC gibi kişisel tanımlayıcı bilgiler saklanmaz.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 Body örneği: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743200"/>
            <wp:effectExtent t="0" r="0" b="0" l="0"/>
            <wp:docPr id="1" name="img" descr="Swagger ekran görüntüsü" title="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3.2 POST /api/v1/hastalar — Response Kodları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201: Başarılı kayıt — hasta_id ve zaman bilgisi döndürülür.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400: Eksik zorunlu alan (yaş, cinsiyet) — hata mesajı döndürülür.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500: Veritabanı bağlantı hatası — DB Hatası mesajı döndürülür.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733675"/>
            <wp:effectExtent t="0" r="0" b="0" l="0"/>
            <wp:docPr id="1" name="img" descr="Swagger ekran görüntüsü" title="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3.3 GET /api/v1/hastalar/{hasta_id} — Hasta Bilgisi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Belirtilen hasta ID'ye ait demografik bilgiler, geçmiş teşhisler ve tedavi planlarını döndürür. Hasta ID path parametresi olarak iletilir.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638425"/>
            <wp:effectExtent t="0" r="0" b="0" l="0"/>
            <wp:docPr id="1" name="img" descr="Swagger ekran görüntüsü" title="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3.4 GET /api/v1/hastalar/{hasta_id} — Response Örnekleri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200: Hasta bilgileri başarıyla döndürüldü — yaş, cinsiyet, diyabet durumu ve geçmiş teşhisler JSON formatında listelenir.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404: Belirtilen ID'ye ait kayıt bulunamadı.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752725"/>
            <wp:effectExtent t="0" r="0" b="0" l="0"/>
            <wp:docPr id="1" name="img" descr="Swagger ekran görüntüsü" title="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4. Görüntü Analizi — CNN Model Entegrasyonu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4.1 POST /api/v1/analiz/baslat — Analiz Başlatma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Doktorun yüklediği tıbbi görüntüyü (Dermoskopik / Fundus / OCT) ve hasta ID'sini alır. Görüntü Selim Yağbasan'ın data_preprocessing.py modülü ile ön işlemeden geçirilir, ardından Enes Zukra'nın TensorFlow/Keras CNN modeline (model.predict) iletilir.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743200"/>
            <wp:effectExtent t="0" r="0" b="0" l="0"/>
            <wp:docPr id="1" name="img" descr="Swagger ekran görüntüsü" title="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4.2 POST /api/v1/analiz/baslat — Response Kodları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202: Analiz kuyruğa alındı — analiz_id ve tahmini süre döndürülür.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400: Eksik hasta_id alanı.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415: Desteklenmeyen görüntü türü. Kabul edilenler: Dermoskopik, Fundus, OCT.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743200"/>
            <wp:effectExtent t="0" r="0" b="0" l="0"/>
            <wp:docPr id="1" name="img" descr="Swagger ekran görüntüsü" title="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4.3 GET /api/v1/analiz/sonuc/{analiz_id} — Teşhis Sonucu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CNN modelinin tamamladığı görüntü analizinin teşhis sonucunu, risk skorunu, hastalık evresini ve Grad-CAM ısı haritası URL'sini döndürür. durum alanı: processing (devam ediyor), completed (hazır), failed (hata).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047875"/>
            <wp:effectExtent t="0" r="0" b="0" l="0"/>
            <wp:docPr id="1" name="img" descr="Swagger ekran görüntüsü" title="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4.4 GET /api/v1/analiz/sonuc — Response Örnekleri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200 — Analiz tamamlandı: Teşhis adı, evre, risk skoru (%85.4), güven skoru (%91.2), ısı haritası URL'si ve AI açıklaması döndürülür.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404: Belirtilen analiz ID'ye ait kayıt bulunamadı.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743200"/>
            <wp:effectExtent t="0" r="0" b="0" l="0"/>
            <wp:docPr id="1" name="img" descr="Swagger ekran görüntüsü" title="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5. Tedavi Planı Endpoint'i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5.1 GET /api/v1/tedavi/plan/{analiz_id} — Kişiselleştirilmiş Tedavi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Tamamlanan analize ve hastanın EHR verilerine göre dinamik tedavi planı döndürür. Göz hastalıklarında Treat-and-Extend protokolü ile iğne zamanlaması optimize edilir.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743200"/>
            <wp:effectExtent t="0" r="0" b="0" l="0"/>
            <wp:docPr id="1" name="img" descr="Swagger ekran görüntüsü" title="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5.2 GET /api/v1/tedavi/plan — Response Örnekleri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200: Anti-VEGF Enjeksiyonu önerisi, Treat-and-Extend protokolü, alternatif ilaçlar (Ranibizumab, Bevacizumab) ve dozaj notu döndürülür.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752725"/>
            <wp:effectExtent t="0" r="0" b="0" l="0"/>
            <wp:docPr id="1" name="img" descr="Swagger ekran görüntüsü" title="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6. API Şemaları (Schemas)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Swagger dokümantasyonunda üç temel şema tanımlanmıştır: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HastaKayitIstegi: Zorunlu alanlar (yas, cinsiyet), opsiyonel alanlar (gecmis, diyabet, kan_degerleri, genetik_yatkinlik).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AnalizBaslatIstegi: Zorunlu alanlar (hasta_id, goruntu_turu), opsiyonel (goruntu_base64).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HataYaniti: Tüm hata yanıtlarında kullanılan standart format (hata, mesaj, zaman).</w:t>
      </w:r>
    </w:p>
    <w:p>
      <w:pPr>
        <w:spacing w:after="120" w:before="120"/>
        <w:jc w:val="center"/>
      </w:pPr>
      <w:r>
        <w:drawing>
          <wp:inline distT="0" distB="0" distL="0" distR="0">
            <wp:extent cx="6000750" cy="2724150"/>
            <wp:effectExtent t="0" r="0" b="0" l="0"/>
            <wp:docPr id="1" name="img" descr="Swagger ekran görüntüsü" title="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cfe0" w:sz="6" w:space="1"/>
        </w:pBdr>
        <w:spacing w:after="12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7. Sonuç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MediAI API'si başarıyla lokal ortamda test edilmiştir. Flask sunucusu (localhost:5000) çalıştırıldığında: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Swagger UI arayüzü erişilebilir durumdadır.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5 endpoint OpenAPI 3.0 standardında dokümante edilmiştir.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CNN modeli (model.h5 — 128MB) başarıyla yüklenmiş, Model Durumu: Aktif olarak doğrulanmıştır.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Hasta Yönetimi, Görüntü Analizi ve Tedavi Planı kategorileri tam işlevseldir.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Hata kodları (400, 404, 415, 500) ve başarı yanıtları (200, 201, 202) doğru şekilde tanımlanmıştır.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26070"/>
        <w:sz w:val="18"/>
        <w:szCs w:val="18"/>
      </w:rPr>
      <w:t xml:space="preserve">Siber Şifacılar — </w:t>
    </w:r>
    <w:r>
      <w:rPr>
        <w:rFonts w:ascii="Arial" w:cs="Arial" w:eastAsia="Arial" w:hAnsi="Arial"/>
        <w:color w:val="52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a8" w:sz="4" w:space="1"/>
      </w:pBdr>
      <w:jc w:val="right"/>
    </w:pPr>
    <w:r>
      <w:rPr>
        <w:rFonts w:ascii="Arial" w:cs="Arial" w:eastAsia="Arial" w:hAnsi="Arial"/>
        <w:color w:val="526070"/>
        <w:sz w:val="18"/>
        <w:szCs w:val="18"/>
      </w:rPr>
      <w:t xml:space="preserve">MediAI — Swagger API Dokümantasyonu Testi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a9e06467aff0e8dfa90b3b8a99631c1beb9812.png"/><Relationship Id="rId10" Type="http://schemas.openxmlformats.org/officeDocument/2006/relationships/image" Target="media/05f9f50d3eb4bc7bbcf8baa5b3c1871c8fb0562a.png"/><Relationship Id="rId11" Type="http://schemas.openxmlformats.org/officeDocument/2006/relationships/image" Target="media/19bfcd078c5b894b6368eb162f56db9a46ed9fda.png"/><Relationship Id="rId12" Type="http://schemas.openxmlformats.org/officeDocument/2006/relationships/image" Target="media/e7a5efad08b8e3f4dadbc485ad568c437c23c305.png"/><Relationship Id="rId13" Type="http://schemas.openxmlformats.org/officeDocument/2006/relationships/image" Target="media/e857fe79c28b0d56ecd461d2186a9d0b98a10759.png"/><Relationship Id="rId14" Type="http://schemas.openxmlformats.org/officeDocument/2006/relationships/image" Target="media/1c215d9133ff4943fdf3735f126747bb5ef2939c.png"/><Relationship Id="rId15" Type="http://schemas.openxmlformats.org/officeDocument/2006/relationships/image" Target="media/99273b3cb6b32224706065543eef8aeb9bc0aaa9.png"/><Relationship Id="rId16" Type="http://schemas.openxmlformats.org/officeDocument/2006/relationships/image" Target="media/d935dbaf09ed1f7cf0300a5c92f5b0d75e8632cf.png"/><Relationship Id="rId17" Type="http://schemas.openxmlformats.org/officeDocument/2006/relationships/image" Target="media/0ba3f9d2d0f12a8e7d4fb4a5fc5ca543d54129ef.png"/><Relationship Id="rId18" Type="http://schemas.openxmlformats.org/officeDocument/2006/relationships/image" Target="media/65ed0c90ad806a6a6e2bec20a01ff8a7cf633dcd.png"/><Relationship Id="rId19" Type="http://schemas.openxmlformats.org/officeDocument/2006/relationships/image" Target="media/fc3f7ca76026459368d6131ae60925e6a5b32a7f.png"/><Relationship Id="rId20" Type="http://schemas.openxmlformats.org/officeDocument/2006/relationships/image" Target="media/0769e4b0cf2c88b571529507d1a5ee238d22159f.png"/><Relationship Id="rId21" Type="http://schemas.openxmlformats.org/officeDocument/2006/relationships/image" Target="media/3af02bbf8a66f5e9cf07225bc1043382fd28224a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2026-06-07T14:06:53.162Z</dcterms:created>
  <dcterms:modified xsi:type="dcterms:W3CDTF">2026-06-07T14:06:53.162Z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