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upporting-information"/>
    <w:p>
      <w:pPr>
        <w:pStyle w:val="Heading1"/>
      </w:pPr>
      <w:r>
        <w:t xml:space="preserve">Supporting Information</w:t>
      </w:r>
    </w:p>
    <w:p>
      <w:pPr>
        <w:pStyle w:val="FirstParagraph"/>
      </w:pPr>
      <w:r>
        <w:rPr>
          <w:bCs/>
          <w:b/>
        </w:rPr>
        <w:t xml:space="preserve">Purpose-dependent drought accumulation scales for canopy monitoring and yield prediction in rainfed Turkish Thrace: a cropland Landsat Vegetation Health Index evaluation</w:t>
      </w:r>
      <w:r>
        <w:t xml:space="preserve"> </w:t>
      </w:r>
      <w:r>
        <w:t xml:space="preserve">C. Kıvrak, M. Şener ·</w:t>
      </w:r>
      <w:r>
        <w:t xml:space="preserve"> </w:t>
      </w:r>
      <w:r>
        <w:rPr>
          <w:iCs/>
          <w:i/>
        </w:rPr>
        <w:t xml:space="preserve">International Journal of Climatology</w:t>
      </w:r>
    </w:p>
    <w:p>
      <w:pPr>
        <w:pStyle w:val="BodyText"/>
      </w:pPr>
      <w:r>
        <w:t>This document indexes the code and analysis-ready data that reproduce every statistical result, table and figure in the main text. The package is archived in a permanent public repository (Zenodo; DOI [to be inserted at proof stage]). The code is released under the MIT licence and the derived data under CC BY 4.0; the raw MGM (meteorology) and TÜİK (yield) records from which the derived products were computed are not redistributed and remain subject to the terms of those agencies (Section 6).</w:t>
      </w:r>
      <w:r/>
      <w:r>
        <w:rPr>
          <w:iCs/>
          <w:i/>
        </w:rPr>
      </w:r>
      <w:r/>
    </w:p>
    <w:bookmarkStart w:id="20" w:name="reproduction"/>
    <w:p>
      <w:pPr>
        <w:pStyle w:val="Heading2"/>
      </w:pPr>
      <w:r>
        <w:t xml:space="preserve">1. Reproduction</w:t>
      </w:r>
    </w:p>
    <w:p>
      <w:pPr>
        <w:pStyle w:val="FirstParagraph"/>
      </w:pPr>
      <w:r>
        <w:t xml:space="preserve">The statistical results are reproduced from the analysis-ready files with fixed random seeds:</w:t>
      </w:r>
    </w:p>
    <w:p>
      <w:pPr>
        <w:pStyle w:val="SourceCode"/>
      </w:pPr>
      <w:r>
        <w:rPr>
          <w:rStyle w:val="VerbatimChar"/>
        </w:rPr>
        <w:t>pip install -r requirements.txt</w:t>
        <w:br/>
        <w:t>python code/verify_headline_numbers.py     # Table 2, district correlations, bootstrap, HSS</w:t>
        <w:br/>
        <w:t>python code/revision_analysis.py           # full reanalysis: all result tables</w:t>
        <w:br/>
        <w:t>python code/regenerate_selected_figures.py # main-text figures</w:t>
        <w:br/>
        <w:t>jupyter nbconvert --execute code/08_resolution_sensitivity.ipynb  # Section 3.9, Figure 9</w:t>
      </w:r>
      <w:r/>
      <w:r>
        <w:rPr>
          <w:rStyle w:val="VerbatimChar"/>
        </w:rPr>
      </w:r>
      <w:r/>
      <w:r>
        <w:rPr>
          <w:rStyle w:val="VerbatimChar"/>
        </w:rPr>
      </w:r>
    </w:p>
    <w:p>
      <w:pPr>
        <w:pStyle w:val="FirstParagraph"/>
      </w:pPr>
      <w:r>
        <w:t>The Landsat extraction (code/01_landsat_vhi.ipynb and the Earth Engine parts of code/08_resolution_sensitivity.ipynb) additionally requires a Google Earth Engine account and the district assets; it is not needed to reproduce the statistics, which run from the derived files.</w:t>
      </w:r>
    </w:p>
    <w:bookmarkEnd w:id="20"/>
    <w:bookmarkStart w:id="21" w:name="code"/>
    <w:p>
      <w:pPr>
        <w:pStyle w:val="Heading2"/>
      </w:pPr>
      <w:r>
        <w:t xml:space="preserve">2. Code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code/01_landsat_vhi.ipynb</w:t>
            </w:r>
          </w:p>
        </w:tc>
        <w:tc>
          <w:tcPr/>
          <w:p>
            <w:pPr>
              <w:pStyle w:val="Compact"/>
              <w:jc w:val="left"/>
            </w:pPr>
            <w:r>
              <w:t xml:space="preserve">District-level, CORINE-211-masked Landsat VHI construction (NDVI, LST → VCI/TCI/VHI)</w:t>
            </w:r>
          </w:p>
        </w:tc>
      </w:tr>
      <w:tr>
        <w:tc>
          <w:tcPr/>
          <w:p>
            <w:pPr>
              <w:pStyle w:val="Compact"/>
              <w:jc w:val="left"/>
            </w:pPr>
            <w:r>
              <w:rPr>
                <w:rStyle w:val="VerbatimChar"/>
              </w:rPr>
              <w:t>code/02_spi_spei.ipynb</w:t>
            </w:r>
          </w:p>
        </w:tc>
        <w:tc>
          <w:tcPr/>
          <w:p>
            <w:pPr>
              <w:pStyle w:val="Compact"/>
              <w:jc w:val="left"/>
            </w:pPr>
            <w:r>
              <w:t xml:space="preserve">SPI (gamma) and SPEI (flexible, AICc distribution selection) at 1–12 months</w:t>
            </w:r>
          </w:p>
        </w:tc>
      </w:tr>
      <w:tr>
        <w:tc>
          <w:tcPr/>
          <w:p>
            <w:pPr>
              <w:pStyle w:val="Compact"/>
              <w:jc w:val="left"/>
            </w:pPr>
            <w:r>
              <w:rPr>
                <w:rStyle w:val="VerbatimChar"/>
              </w:rPr>
              <w:t>code/03_scale_selection.ipynb</w:t>
            </w:r>
          </w:p>
        </w:tc>
        <w:tc>
          <w:tcPr/>
          <w:p>
            <w:pPr>
              <w:pStyle w:val="Compact"/>
              <w:jc w:val="left"/>
            </w:pPr>
            <w:r>
              <w:t xml:space="preserve">Four-criterion ranking on the common complete-case sample</w:t>
            </w:r>
          </w:p>
        </w:tc>
      </w:tr>
      <w:tr>
        <w:tc>
          <w:tcPr/>
          <w:p>
            <w:pPr>
              <w:pStyle w:val="Compact"/>
              <w:jc w:val="left"/>
            </w:pPr>
            <w:r>
              <w:rPr>
                <w:rStyle w:val="VerbatimChar"/>
              </w:rPr>
              <w:t>code/04_pet_sensitivity_yield_panel.ipynb</w:t>
            </w:r>
          </w:p>
        </w:tc>
        <w:tc>
          <w:tcPr/>
          <w:p>
            <w:pPr>
              <w:pStyle w:val="Compact"/>
              <w:jc w:val="left"/>
            </w:pPr>
            <w:r>
              <w:t xml:space="preserve">Oudin-PET sensitivity and the district yield panels</w:t>
            </w:r>
          </w:p>
        </w:tc>
      </w:tr>
      <w:tr>
        <w:tc>
          <w:tcPr/>
          <w:p>
            <w:pPr>
              <w:pStyle w:val="Compact"/>
              <w:jc w:val="left"/>
            </w:pPr>
            <w:r>
              <w:rPr>
                <w:rStyle w:val="VerbatimChar"/>
              </w:rPr>
              <w:t>code/05_vhi_drought_maps.ipynb, 05b_…</w:t>
            </w:r>
            <w:r/>
            <w:r/>
            <w:r>
              <w:rPr>
                <w:rStyle w:val="VerbatimChar"/>
              </w:rPr>
            </w:r>
          </w:p>
        </w:tc>
        <w:tc>
          <w:tcPr/>
          <w:p>
            <w:pPr>
              <w:pStyle w:val="Compact"/>
              <w:jc w:val="left"/>
            </w:pPr>
            <w:r>
              <w:t xml:space="preserve">VHI drought maps</w:t>
            </w:r>
          </w:p>
        </w:tc>
      </w:tr>
      <w:tr>
        <w:tc>
          <w:tcPr/>
          <w:p>
            <w:pPr>
              <w:pStyle w:val="Compact"/>
              <w:jc w:val="left"/>
            </w:pPr>
            <w:r>
              <w:rPr>
                <w:rStyle w:val="VerbatimChar"/>
              </w:rPr>
              <w:t>code/06_publication_figures.ipynb</w:t>
            </w:r>
          </w:p>
        </w:tc>
        <w:tc>
          <w:tcPr/>
          <w:p>
            <w:pPr>
              <w:pStyle w:val="Compact"/>
              <w:jc w:val="left"/>
            </w:pPr>
            <w:r>
              <w:t xml:space="preserve">Main-text figures</w:t>
            </w:r>
          </w:p>
        </w:tc>
      </w:tr>
      <w:tr>
        <w:tc>
          <w:tcPr/>
          <w:p>
            <w:pPr>
              <w:pStyle w:val="Compact"/>
              <w:jc w:val="left"/>
            </w:pPr>
            <w:r>
              <w:rPr>
                <w:rStyle w:val="VerbatimChar"/>
              </w:rPr>
              <w:t>code/07_statistical_robustness.ipynb</w:t>
            </w:r>
          </w:p>
        </w:tc>
        <w:tc>
          <w:tcPr/>
          <w:p>
            <w:pPr>
              <w:pStyle w:val="Compact"/>
              <w:jc w:val="left"/>
            </w:pPr>
            <w:r>
              <w:t xml:space="preserve">Bootstrap, leave-one-out, component (VCI/TCI-only) analyses</w:t>
            </w:r>
          </w:p>
        </w:tc>
      </w:tr>
      <w:tr>
        <w:tc>
          <w:tcPr/>
          <w:p>
            <w:pPr>
              <w:pStyle w:val="Compact"/>
              <w:jc w:val="left"/>
            </w:pPr>
            <w:r>
              <w:rPr>
                <w:rStyle w:val="VerbatimChar"/>
              </w:rPr>
              <w:t>code/08_resolution_sensitivity.ipynb</w:t>
            </w:r>
          </w:p>
        </w:tc>
        <w:tc>
          <w:tcPr/>
          <w:p>
            <w:pPr>
              <w:pStyle w:val="Compact"/>
              <w:jc w:val="left"/>
            </w:pPr>
            <w:r>
              <w:t xml:space="preserve">Spatial-aggregation sensitivity: 30 m → ~1 km, masked and unmasked (Section 3.9)</w:t>
            </w:r>
          </w:p>
        </w:tc>
      </w:tr>
      <w:tr>
        <w:tc>
          <w:tcPr/>
          <w:p>
            <w:pPr>
              <w:pStyle w:val="Compact"/>
              <w:jc w:val="left"/>
            </w:pPr>
            <w:r>
              <w:rPr>
                <w:rStyle w:val="VerbatimChar"/>
              </w:rPr>
              <w:t>code/revision_analysis.py</w:t>
            </w:r>
          </w:p>
        </w:tc>
        <w:tc>
          <w:tcPr/>
          <w:p>
            <w:pPr>
              <w:pStyle w:val="Compact"/>
              <w:jc w:val="left"/>
            </w:pPr>
            <w:r>
              <w:t xml:space="preserve">End-to-end statistical reanalysis writing all result tables</w:t>
            </w:r>
          </w:p>
        </w:tc>
      </w:tr>
      <w:tr>
        <w:tc>
          <w:tcPr/>
          <w:p>
            <w:pPr>
              <w:pStyle w:val="Compact"/>
              <w:jc w:val="left"/>
            </w:pPr>
            <w:r>
              <w:rPr>
                <w:rStyle w:val="VerbatimChar"/>
              </w:rPr>
              <w:t>code/regenerate_selected_figures.py</w:t>
            </w:r>
          </w:p>
        </w:tc>
        <w:tc>
          <w:tcPr/>
          <w:p>
            <w:pPr>
              <w:pStyle w:val="Compact"/>
              <w:jc w:val="left"/>
            </w:pPr>
            <w:r>
              <w:t>Re-renders selected main-text figures from the derived CSVs</w:t>
            </w:r>
          </w:p>
        </w:tc>
      </w:tr>
      <w:tr>
        <w:tc>
          <w:tcPr/>
          <w:p>
            <w:pPr>
              <w:pStyle w:val="Compact"/>
              <w:jc w:val="left"/>
            </w:pPr>
            <w:r>
              <w:rPr>
                <w:rStyle w:val="VerbatimChar"/>
              </w:rPr>
              <w:t>code/verify_headline_numbers.py</w:t>
            </w:r>
          </w:p>
        </w:tc>
        <w:tc>
          <w:tcPr/>
          <w:p>
            <w:pPr>
              <w:pStyle w:val="Compact"/>
              <w:jc w:val="left"/>
            </w:pPr>
            <w:r>
              <w:t>Standalone reproduction of Table 2, the district correlations, the bootstrap frequency and the Heidke skill score</w:t>
            </w:r>
          </w:p>
        </w:tc>
      </w:tr>
    </w:tbl>
    <w:bookmarkEnd w:id="21"/>
    <w:bookmarkStart w:id="22" w:name="analysis-ready-data"/>
    <w:p>
      <w:pPr>
        <w:pStyle w:val="Heading2"/>
      </w:pPr>
      <w:r>
        <w:t xml:space="preserve">3. Analysis-ready 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data/trakya_district_vhi_vci_tci_monthly.csv</w:t>
            </w:r>
          </w:p>
        </w:tc>
        <w:tc>
          <w:tcPr/>
          <w:p>
            <w:pPr>
              <w:pStyle w:val="Compact"/>
              <w:jc w:val="left"/>
            </w:pPr>
            <w:r>
              <w:t xml:space="preserve">District monthly NDVI, LST, VCI, TCI, VHI (1985–2024)</w:t>
            </w:r>
          </w:p>
        </w:tc>
      </w:tr>
      <w:tr>
        <w:tc>
          <w:tcPr/>
          <w:p>
            <w:pPr>
              <w:pStyle w:val="Compact"/>
              <w:jc w:val="left"/>
            </w:pPr>
            <w:r>
              <w:rPr>
                <w:rStyle w:val="VerbatimChar"/>
              </w:rPr>
              <w:t>data/trakya_spi_spei_flexible_1965_2024.csv</w:t>
            </w:r>
          </w:p>
        </w:tc>
        <w:tc>
          <w:tcPr/>
          <w:p>
            <w:pPr>
              <w:pStyle w:val="Compact"/>
              <w:jc w:val="left"/>
            </w:pPr>
            <w:r>
              <w:t xml:space="preserve">SPI and flexibly standardized SPEI at five scales, per station (1965–2024)</w:t>
            </w:r>
          </w:p>
        </w:tc>
      </w:tr>
      <w:tr>
        <w:tc>
          <w:tcPr/>
          <w:p>
            <w:pPr>
              <w:pStyle w:val="Compact"/>
              <w:jc w:val="left"/>
            </w:pPr>
            <w:r>
              <w:rPr>
                <w:rStyle w:val="VerbatimChar"/>
              </w:rPr>
              <w:t>data/trakya_TP_PET_1965_2024.csv</w:t>
            </w:r>
          </w:p>
        </w:tc>
        <w:tc>
          <w:tcPr/>
          <w:p>
            <w:pPr>
              <w:pStyle w:val="Compact"/>
              <w:jc w:val="left"/>
            </w:pPr>
            <w:r>
              <w:t xml:space="preserve">Station precipitation, temperature, Thornthwaite PET, water balance</w:t>
            </w:r>
          </w:p>
        </w:tc>
      </w:tr>
      <w:tr>
        <w:tc>
          <w:tcPr/>
          <w:p>
            <w:pPr>
              <w:pStyle w:val="Compact"/>
              <w:jc w:val="left"/>
            </w:pPr>
            <w:r>
              <w:rPr>
                <w:rStyle w:val="VerbatimChar"/>
              </w:rPr>
              <w:t>data/scale_selection_multicriteria.csv</w:t>
            </w:r>
          </w:p>
        </w:tc>
        <w:tc>
          <w:tcPr/>
          <w:p>
            <w:pPr>
              <w:pStyle w:val="Compact"/>
              <w:jc w:val="left"/>
            </w:pPr>
            <w:r>
              <w:t xml:space="preserve">Four-criterion scores and composite ranking</w:t>
            </w:r>
          </w:p>
        </w:tc>
      </w:tr>
      <w:tr>
        <w:tc>
          <w:tcPr/>
          <w:p>
            <w:pPr>
              <w:pStyle w:val="Compact"/>
              <w:jc w:val="left"/>
            </w:pPr>
            <w:r>
              <w:rPr>
                <w:rStyle w:val="VerbatimChar"/>
              </w:rPr>
              <w:t>data/yield_panel_sunflower.csv, …_wheat.csv</w:t>
            </w:r>
            <w:r/>
            <w:r/>
            <w:r>
              <w:rPr>
                <w:rStyle w:val="VerbatimChar"/>
              </w:rPr>
            </w:r>
          </w:p>
        </w:tc>
        <w:tc>
          <w:tcPr/>
          <w:p>
            <w:pPr>
              <w:pStyle w:val="Compact"/>
              <w:jc w:val="left"/>
            </w:pPr>
            <w:r>
              <w:t xml:space="preserve">District yield panels with growing-season SPEI</w:t>
            </w:r>
          </w:p>
        </w:tc>
      </w:tr>
      <w:tr>
        <w:tc>
          <w:tcPr/>
          <w:p>
            <w:pPr>
              <w:pStyle w:val="Compact"/>
              <w:jc w:val="left"/>
            </w:pPr>
            <w:r>
              <w:rPr>
                <w:rStyle w:val="VerbatimChar"/>
              </w:rPr>
              <w:t>data/bootstrap_selection_frequency.csv, data/categorical_skill_summary.csv, data/distribution_fit_diagnostics.csv, data/sensitivity_summary.csv</w:t>
            </w:r>
          </w:p>
        </w:tc>
        <w:tc>
          <w:tcPr/>
          <w:p>
            <w:pPr>
              <w:pStyle w:val="Compact"/>
              <w:jc w:val="left"/>
            </w:pPr>
            <w:r>
              <w:t>Bootstrap selection frequencies; POD/FAR/CSI/bias/HSS with confidence intervals; per-station distribution-fit diagnostics; scale selection under seven alternative specifications</w:t>
            </w:r>
          </w:p>
        </w:tc>
      </w:tr>
      <w:tr>
        <w:tc>
          <w:tcPr/>
          <w:p>
            <w:pPr>
              <w:pStyle w:val="Compact"/>
              <w:jc w:val="left"/>
            </w:pPr>
            <w:r>
              <w:rPr>
                <w:rStyle w:val="VerbatimChar"/>
              </w:rPr>
              <w:t>data/trakya_resolution_sensitivity.csv</w:t>
            </w:r>
          </w:p>
        </w:tc>
        <w:tc>
          <w:tcPr/>
          <w:p>
            <w:pPr>
              <w:pStyle w:val="Compact"/>
              <w:jc w:val="left"/>
            </w:pPr>
            <w:r>
              <w:t xml:space="preserve">District monthly NDVI/LST by arm (masked/unmasked) × resolution (30/250/500/900 m)</w:t>
            </w:r>
          </w:p>
        </w:tc>
      </w:tr>
      <w:tr>
        <w:tc>
          <w:tcPr/>
          <w:p>
            <w:pPr>
              <w:pStyle w:val="Compact"/>
              <w:jc w:val="left"/>
            </w:pPr>
            <w:r>
              <w:rPr>
                <w:rStyle w:val="VerbatimChar"/>
              </w:rPr>
              <w:t xml:space="preserve">data/spatial/Trakya_Merged.shp</w:t>
            </w:r>
          </w:p>
        </w:tc>
        <w:tc>
          <w:tcPr/>
          <w:p>
            <w:pPr>
              <w:pStyle w:val="Compact"/>
              <w:jc w:val="left"/>
            </w:pPr>
            <w:r>
              <w:t>District boundaries used for the zonal aggregation (with .dbf/.shx/.prj/.cpg)</w:t>
            </w:r>
            <w:r/>
            <w:r>
              <w:rPr>
                <w:rStyle w:val="VerbatimChar"/>
              </w:rPr>
            </w:r>
            <w:r/>
            <w:r/>
          </w:p>
        </w:tc>
      </w:tr>
      <w:tr>
        <w:tc>
          <w:tcPr/>
          <w:p>
            <w:pPr>
              <w:pStyle w:val="Compact"/>
              <w:jc w:val="left"/>
            </w:pPr>
            <w:r>
              <w:rPr>
                <w:rStyle w:val="VerbatimChar"/>
              </w:rPr>
              <w:t>data/spatial/station_info.xlsx</w:t>
            </w:r>
          </w:p>
        </w:tc>
        <w:tc>
          <w:tcPr/>
          <w:p>
            <w:pPr>
              <w:pStyle w:val="Compact"/>
              <w:jc w:val="left"/>
            </w:pPr>
            <w:r>
              <w:t>Station names, coordinates and elevations</w:t>
            </w:r>
            <w:r/>
            <w:r>
              <w:rPr>
                <w:rStyle w:val="VerbatimChar"/>
              </w:rPr>
            </w:r>
            <w:r/>
            <w:r/>
          </w:p>
        </w:tc>
      </w:tr>
      <w:tr>
        <w:tc>
          <w:tcPr/>
          <w:p>
            <w:pPr>
              <w:pStyle w:val="Compact"/>
              <w:jc w:val="left"/>
            </w:pPr>
            <w:r>
              <w:rPr>
                <w:rStyle w:val="VerbatimChar"/>
              </w:rPr>
              <w:t>data/ipsala_coupling_subperiods.csv</w:t>
            </w:r>
          </w:p>
        </w:tc>
        <w:tc>
          <w:tcPr/>
          <w:p>
            <w:pPr>
              <w:pStyle w:val="Compact"/>
              <w:jc w:val="left"/>
            </w:pPr>
            <w:r>
              <w:t>District VHI–SPEI-3 correlations by sub-period (1985–2012, 2013–2024, full record) under the paper normalisation and under a within-window normalisation (Section 3.5)</w:t>
            </w:r>
            <w:r/>
            <w:r>
              <w:rPr>
                <w:rStyle w:val="VerbatimChar"/>
              </w:rPr>
            </w:r>
            <w:r/>
            <w:r/>
          </w:p>
        </w:tc>
      </w:tr>
    </w:tbl>
    <w:bookmarkEnd w:id="22"/>
    <w:bookmarkStart w:id="23" w:name="supplementary-figures"/>
    <w:p>
      <w:pPr>
        <w:pStyle w:val="Heading2"/>
      </w:pPr>
      <w:r>
        <w:t xml:space="preserve">4. Supplementary figures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Supplementary_Station_Figures.docx</w:t>
            </w:r>
          </w:p>
        </w:tc>
        <w:tc>
          <w:tcPr/>
          <w:p>
            <w:pPr>
              <w:pStyle w:val="Compact"/>
              <w:jc w:val="left"/>
            </w:pPr>
            <w:r>
              <w:t xml:space="preserve">Per-station SPI, SPEI and VHI time series for all seven districts (supplementary figures S1–S7)</w:t>
            </w:r>
          </w:p>
        </w:tc>
      </w:tr>
      <w:tr>
        <w:tc>
          <w:tcPr/>
          <w:p>
            <w:pPr>
              <w:pStyle w:val="Compact"/>
              <w:jc w:val="left"/>
            </w:pPr>
            <w:r>
              <w:rPr>
                <w:rStyle w:val="VerbatimChar"/>
              </w:rPr>
              <w:t>figures/Graphical_Abstract.png</w:t>
            </w:r>
          </w:p>
        </w:tc>
        <w:tc>
          <w:tcPr/>
          <w:p>
            <w:pPr>
              <w:pStyle w:val="Compact"/>
              <w:jc w:val="left"/>
            </w:pPr>
            <w:r>
              <w:t xml:space="preserve">Journal graphical abstract</w:t>
            </w:r>
          </w:p>
        </w:tc>
      </w:tr>
      <w:tr>
        <w:tc>
          <w:tcPr/>
          <w:p>
            <w:pPr>
              <w:pStyle w:val="Compact"/>
              <w:jc w:val="left"/>
            </w:pPr>
            <w:r>
              <w:rPr>
                <w:rStyle w:val="VerbatimChar"/>
              </w:rPr>
              <w:t xml:space="preserve">figures/Fig9_resolution.png</w:t>
            </w:r>
          </w:p>
        </w:tc>
        <w:tc>
          <w:tcPr/>
          <w:p>
            <w:pPr>
              <w:pStyle w:val="Compact"/>
              <w:jc w:val="left"/>
            </w:pPr>
            <w:r>
              <w:t xml:space="preserve">Spatial-aggregation sensitivity (main-text Figure 9)</w:t>
            </w:r>
          </w:p>
        </w:tc>
      </w:tr>
      <w:tr>
        <w:tc>
          <w:tcPr/>
          <w:p>
            <w:pPr>
              <w:pStyle w:val="Compact"/>
              <w:jc w:val="left"/>
            </w:pPr>
            <w:r>
              <w:rPr>
                <w:rStyle w:val="VerbatimChar"/>
              </w:rPr>
              <w:t>README.md, LICENSE, LICENSE-DATA.md, CITATION.cff</w:t>
            </w:r>
          </w:p>
        </w:tc>
        <w:tc>
          <w:tcPr/>
          <w:p>
            <w:pPr>
              <w:pStyle w:val="Compact"/>
              <w:jc w:val="left"/>
            </w:pPr>
            <w:r>
              <w:t>Archive documentation, licences and citation metadata</w:t>
            </w:r>
          </w:p>
        </w:tc>
      </w:tr>
    </w:tbl>
    <w:p>
      <w:pPr>
        <w:pStyle w:val="BodyText"/>
      </w:pPr>
      <w:r>
        <w:t xml:space="preserve">Main-text Figures 1–9 are regenerated by the figure scripts in Section 2.</w:t>
      </w:r>
    </w:p>
    <w:bookmarkEnd w:id="23"/>
    <w:bookmarkStart w:id="24" w:name="Xb815bcf5b131f38c45de63ace6414d2f9e12574"/>
    <w:p>
      <w:pPr>
        <w:pStyle w:val="Heading2"/>
      </w:pPr>
      <w:r>
        <w:t xml:space="preserve">5. Notes on the spatial-aggregation test (Section 3.9)</w:t>
      </w:r>
    </w:p>
    <w:p>
      <w:pPr>
        <w:pStyle w:val="FirstParagraph"/>
      </w:pPr>
      <w:r>
        <w:rPr>
          <w:rStyle w:val="VerbatimChar"/>
        </w:rPr>
        <w:t xml:space="preserve">08_resolution_sensitivity.ipynb</w:t>
      </w:r>
      <w:r>
        <w:t xml:space="preserve"> </w:t>
      </w:r>
      <w:r>
        <w:t xml:space="preserve">extracts district NDVI/LST in three arms — native 30 m cropland-masked (A), coarse cropland-masked (B) and coarse unmasked (C) — at 250, 500 and ~900 m, over the Landsat 8/9 era (2013–2024). VCI/TCI/VHI (α = 0.5) and the VHI–SPEI correlations are then computed per arm and resolution. The three-month optimum holds throughout; cropland masking raises the seasonal NDVI amplitude by ~11% independently of resolution, whereas sensor resolution has a limited effect on the district-mean correlations.</w:t>
      </w:r>
    </w:p>
    <w:bookmarkEnd w:id="24"/>
    <w:bookmarkEnd w:id="25"/>
    <w:sectPr/>
    <w:p>
      <w:pPr>
        <w:pStyle w:val="Heading2"/>
      </w:pPr>
      <w:r>
        <w:t>6. Licence and data terms</w:t>
      </w:r>
    </w:p>
    <w:p>
      <w:pPr>
        <w:pStyle w:val="BodyText"/>
      </w:pPr>
      <w:r>
        <w:t>Code (code/) is released under the MIT licence. The derived data files (data/) are released under the Creative Commons Attribution 4.0 International licence (CC BY 4.0); reuse requires citation of the accompanying article.</w:t>
      </w:r>
      <w:r/>
      <w:r>
        <w:rPr>
          <w:iCs/>
          <w:i/>
        </w:rPr>
      </w:r>
      <w:r/>
    </w:p>
    <w:p>
      <w:pPr>
        <w:pStyle w:val="BodyText"/>
      </w:pPr>
      <w:r>
        <w:t>Every file under data/ is a derived product — monthly district-level aggregates, standardized indices, fitted diagnostics and summary tables computed by the authors. The underlying raw records are not included in the archive and are not covered by that licence. Daily and monthly station precipitation and temperature were supplied by the Turkish State Meteorological Service (MGM) for research use; MGM retains all rights and the raw station series may not be redistributed. District-level wheat and sunflower statistics were obtained from the Turkish Statistical Institute (TÜİK) under the same condition. Both should be requested directly from those agencies. The products distributed here are aggregated at a level that does not permit reconstruction of the raw station series or the underlying survey returns.</w:t>
      </w:r>
      <w:r/>
      <w:r>
        <w:rPr>
          <w:iCs/>
          <w:i/>
        </w:rPr>
      </w:r>
      <w:r/>
    </w:p>
    <w:p>
      <w:pPr>
        <w:pStyle w:val="BodyText"/>
      </w:pPr>
      <w:r>
        <w:t>Landsat 5/7/8/9 Collection 2 Level-2 products are in the public domain (U.S. Geological Survey). CORINE Land Cover 2018 is available under the Copernicus data policy with attribution (European Environment Agency). District boundaries (data/spatial/Trakya_Merged.*) are redistributed for reproducibility of the zonal aggregation.</w:t>
      </w:r>
      <w:r/>
      <w:r>
        <w:rPr>
          <w:iCs/>
          <w:i/>
        </w:rPr>
      </w:r>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2026-07-20T07:39:32Z</dcterms:created>
  <dcterms:modified xsi:type="dcterms:W3CDTF">2026-07-20T07:39:32Z</dcterms:modified>
</cp:coreProperties>
</file>

<file path=docProps/custom.xml><?xml version="1.0" encoding="utf-8"?>
<Properties xmlns="http://schemas.openxmlformats.org/officeDocument/2006/custom-properties" xmlns:vt="http://schemas.openxmlformats.org/officeDocument/2006/docPropsVTypes"/>
</file>