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a5f"/>
          <w:sz w:val="44"/>
          <w:szCs w:val="44"/>
        </w:rPr>
        <w:t xml:space="preserve">Global Development and Macroeconomic Insights</w:t>
      </w:r>
    </w:p>
    <w:p>
      <w:pPr>
        <w:spacing w:after="60"/>
        <w:jc w:val="center"/>
      </w:pPr>
      <w:r>
        <w:rPr>
          <w:b/>
          <w:bCs/>
          <w:color w:val="e07a3e"/>
          <w:sz w:val="30"/>
          <w:szCs w:val="30"/>
        </w:rPr>
        <w:t xml:space="preserve">A Power BI Dashboard Analysis of 58 Years of Global Development</w:t>
      </w:r>
    </w:p>
    <w:p>
      <w:pPr>
        <w:spacing w:after="600"/>
        <w:jc w:val="center"/>
      </w:pPr>
      <w:r>
        <w:rPr>
          <w:i/>
          <w:iCs/>
          <w:color w:val="444444"/>
          <w:sz w:val="24"/>
          <w:szCs w:val="24"/>
        </w:rPr>
        <w:t xml:space="preserve">Technical Documentation</w:t>
      </w:r>
    </w:p>
    <w:p>
      <w:pPr>
        <w:spacing w:after="60"/>
        <w:jc w:val="center"/>
      </w:pPr>
      <w:r>
        <w:rPr>
          <w:color w:val="444444"/>
          <w:sz w:val="22"/>
          <w:szCs w:val="22"/>
        </w:rPr>
        <w:t xml:space="preserve">Prepared by: [Your Name]</w:t>
      </w:r>
    </w:p>
    <w:p>
      <w:pPr>
        <w:spacing w:after="60"/>
        <w:jc w:val="center"/>
      </w:pPr>
      <w:r>
        <w:rPr>
          <w:color w:val="444444"/>
          <w:sz w:val="22"/>
          <w:szCs w:val="22"/>
        </w:rPr>
        <w:t xml:space="preserve">Date: July 2026</w:t>
      </w:r>
    </w:p>
    <w:p>
      <w:pPr>
        <w:spacing w:after="60"/>
        <w:jc w:val="center"/>
      </w:pPr>
      <w:r>
        <w:rPr>
          <w:color w:val="444444"/>
          <w:sz w:val="22"/>
          <w:szCs w:val="22"/>
        </w:rPr>
        <w:t xml:space="preserve">Tools: Power BI Desktop (data modelling and visualisation), Power Query (ETL)</w:t>
      </w:r>
    </w:p>
    <w:p>
      <w:pPr>
        <w:spacing w:after="60"/>
        <w:jc w:val="center"/>
      </w:pPr>
      <w:r>
        <w:rPr>
          <w:color w:val="444444"/>
          <w:sz w:val="22"/>
          <w:szCs w:val="22"/>
        </w:rPr>
        <w:t xml:space="preserve">Data sources: World Bank Development Indicators, International Labour Organisation</w:t>
      </w:r>
    </w:p>
    <w:p>
      <w:r>
        <w:br w:type="page"/>
      </w:r>
    </w:p>
    <w:p>
      <w:pPr>
        <w:pStyle w:val="Heading1"/>
        <w:pBdr>
          <w:bottom w:val="single" w:color="1f3a5f" w:sz="6" w:space="4"/>
        </w:pBdr>
        <w:spacing w:after="200" w:before="400"/>
      </w:pPr>
      <w:r>
        <w:rPr>
          <w:b/>
          <w:bCs/>
          <w:color w:val="1f3a5f"/>
          <w:sz w:val="30"/>
          <w:szCs w:val="30"/>
        </w:rPr>
        <w:t xml:space="preserve">1. Introduction</w:t>
      </w:r>
    </w:p>
    <w:p>
      <w:pPr>
        <w:spacing w:after="160" w:line="300"/>
      </w:pPr>
      <w:r>
        <w:rPr>
          <w:sz w:val="22"/>
          <w:szCs w:val="22"/>
        </w:rPr>
        <w:t xml:space="preserve">Between 1960 and 2018, 211 nations embarked on distinctly different development journeys. Whilst some climbed steadily from poverty to prosperity, others stalled, retreated, or took years to gain traction. Yet underneath those divergent paths lies a predictable logic: access to wealth unlocks healthcare, education, and modern infrastructure, which in turn shape longevity and opportunity. This project uses 58 years of global development data to isolate that logic and make it visible.</w:t>
      </w:r>
    </w:p>
    <w:p>
      <w:pPr>
        <w:spacing w:after="160" w:line="300"/>
      </w:pPr>
      <w:r>
        <w:rPr>
          <w:sz w:val="22"/>
          <w:szCs w:val="22"/>
        </w:rPr>
        <w:t xml:space="preserve">The analysis transforms nearly 150,000 data points from the World Bank and International Labour Organisation into a unified Power BI dashboard that tracks macroeconomic trends across six dedicated analytical views. The objective is not to describe static outcomes, but to trace the multi-decade trajectories that define real human progress: where money translates into longer lives, where technological adoption breaks historical energy-consumption patterns, and where structural inequality persists despite economic growth.</w:t>
      </w:r>
    </w:p>
    <w:p>
      <w:pPr>
        <w:spacing w:after="160" w:line="300"/>
      </w:pPr>
      <w:r>
        <w:rPr>
          <w:sz w:val="22"/>
          <w:szCs w:val="22"/>
        </w:rPr>
        <w:t xml:space="preserve">This technical document details the data model, analytical methods, findings, and design choices that underpin the platform. It is written for both technical audiences seeking to understand the architecture and executive stakeholders looking to interpret the insights.</w:t>
      </w:r>
    </w:p>
    <w:p>
      <w:pPr>
        <w:pStyle w:val="Heading1"/>
        <w:pBdr>
          <w:bottom w:val="single" w:color="1f3a5f" w:sz="6" w:space="4"/>
        </w:pBdr>
        <w:spacing w:after="200" w:before="400"/>
      </w:pPr>
      <w:r>
        <w:rPr>
          <w:b/>
          <w:bCs/>
          <w:color w:val="1f3a5f"/>
          <w:sz w:val="30"/>
          <w:szCs w:val="30"/>
        </w:rPr>
        <w:t xml:space="preserve">2. Data Description</w:t>
      </w:r>
    </w:p>
    <w:p>
      <w:pPr>
        <w:pStyle w:val="Heading2"/>
        <w:spacing w:after="140" w:before="280"/>
      </w:pPr>
      <w:r>
        <w:rPr>
          <w:b/>
          <w:bCs/>
          <w:color w:val="1f3a5f"/>
          <w:sz w:val="24"/>
          <w:szCs w:val="24"/>
        </w:rPr>
        <w:t xml:space="preserve">2.1 Source</w:t>
      </w:r>
    </w:p>
    <w:p>
      <w:pPr>
        <w:spacing w:after="160" w:line="300"/>
      </w:pPr>
      <w:r>
        <w:rPr>
          <w:sz w:val="22"/>
          <w:szCs w:val="22"/>
        </w:rPr>
        <w:t xml:space="preserve">The core dataset combines annual administrative records from the World Bank Development Indicators (WBDI) repository and the International Labour Organisation (ILO) employment database. These are among the most widely used sources for cross-national development research and cover standardised, country-reported metrics across a consistent 58-year historical timeline.</w:t>
      </w:r>
    </w:p>
    <w:p>
      <w:pPr>
        <w:pStyle w:val="Heading2"/>
        <w:spacing w:after="140" w:before="280"/>
      </w:pPr>
      <w:r>
        <w:rPr>
          <w:b/>
          <w:bCs/>
          <w:color w:val="1f3a5f"/>
          <w:sz w:val="24"/>
          <w:szCs w:val="24"/>
        </w:rPr>
        <w:t xml:space="preserve">2.2 Format and scope</w:t>
      </w:r>
    </w:p>
    <w:p>
      <w:pPr>
        <w:spacing w:after="160" w:line="300"/>
      </w:pPr>
      <w:r>
        <w:rPr>
          <w:sz w:val="22"/>
          <w:szCs w:val="22"/>
        </w:rPr>
        <w:t xml:space="preserve">The dataset comprises 211 unique nations tracked annually from 1 January 1960 to 31 December 2018, yielding approximately 11,738 nation-year records across four analytical domains: economic status (GDP per capita, income tier, region), health and longevity (life expectancy, infant mortality), digital and energy infrastructure (internet penetration, electricity consumption per capita), and labour market dynamics (unemployment rate).</w:t>
      </w:r>
    </w:p>
    <w:p>
      <w:pPr>
        <w:pStyle w:val="Heading2"/>
        <w:spacing w:after="140" w:before="280"/>
      </w:pPr>
      <w:r>
        <w:rPr>
          <w:b/>
          <w:bCs/>
          <w:color w:val="1f3a5f"/>
          <w:sz w:val="24"/>
          <w:szCs w:val="24"/>
        </w:rPr>
        <w:t xml:space="preserve">2.3 Data quality issues and cleaning steps</w:t>
      </w:r>
    </w:p>
    <w:p>
      <w:pPr>
        <w:spacing w:after="160" w:line="300"/>
      </w:pPr>
      <w:r>
        <w:rPr>
          <w:sz w:val="22"/>
          <w:szCs w:val="22"/>
        </w:rPr>
        <w:t xml:space="preserve">Several data quality challenges required systematic handling before analysis:</w:t>
      </w:r>
    </w:p>
    <w:p>
      <w:pPr>
        <w:pStyle w:val="ListParagraph"/>
        <w:numPr>
          <w:ilvl w:val="0"/>
          <w:numId w:val="2"/>
        </w:numPr>
        <w:spacing w:after="80" w:line="280"/>
      </w:pPr>
      <w:r>
        <w:rPr>
          <w:sz w:val="22"/>
          <w:szCs w:val="22"/>
        </w:rPr>
        <w:t xml:space="preserve">Reporting gaps: Electric power consumption tracking was incomplete between 1971 and 1989 for certain regions. These were identified through exploratory inspection and flagged for contextual filtering rather than deletion.</w:t>
      </w:r>
    </w:p>
    <w:p>
      <w:pPr>
        <w:pStyle w:val="ListParagraph"/>
        <w:numPr>
          <w:ilvl w:val="0"/>
          <w:numId w:val="2"/>
        </w:numPr>
        <w:spacing w:after="80" w:line="280"/>
      </w:pPr>
      <w:r>
        <w:rPr>
          <w:sz w:val="22"/>
          <w:szCs w:val="22"/>
        </w:rPr>
        <w:t xml:space="preserve">Default aggregation labels: The native Power BI schema carried auto-generated field names like 'Average of GDP per Capita'. These were renamed in Power Query to concise, corporate-standard identifiers to maintain visual consistency and prevent misinterpretation.</w:t>
      </w:r>
    </w:p>
    <w:p>
      <w:pPr>
        <w:pStyle w:val="ListParagraph"/>
        <w:numPr>
          <w:ilvl w:val="0"/>
          <w:numId w:val="2"/>
        </w:numPr>
        <w:spacing w:after="80" w:line="280"/>
      </w:pPr>
      <w:r>
        <w:rPr>
          <w:sz w:val="22"/>
          <w:szCs w:val="22"/>
        </w:rPr>
        <w:t xml:space="preserve">Outlier bias: Traditional arithmetic means at the regional level produced inflated baselines driven by a small number of high-performing economies. Dynamic median calculations were substituted to isolate true regional progress without distortion.</w:t>
      </w:r>
    </w:p>
    <w:p>
      <w:pPr>
        <w:pStyle w:val="ListParagraph"/>
        <w:numPr>
          <w:ilvl w:val="0"/>
          <w:numId w:val="2"/>
        </w:numPr>
        <w:spacing w:after="80" w:line="280"/>
      </w:pPr>
      <w:r>
        <w:rPr>
          <w:sz w:val="22"/>
          <w:szCs w:val="22"/>
        </w:rPr>
        <w:t xml:space="preserve">Geographic normalisation: Income tier and regional classifications required standardisation to prevent cross-filtering fragmentation across dashboard pages. All text values were trimmed, standardised to title case, and mapped to a single reference dimension table.</w:t>
      </w:r>
    </w:p>
    <w:p>
      <w:pPr>
        <w:spacing w:after="160" w:line="300"/>
      </w:pPr>
      <w:r>
        <w:rPr>
          <w:sz w:val="22"/>
          <w:szCs w:val="22"/>
        </w:rPr>
        <w:t xml:space="preserve">After cleaning, the dataset comprises 11,738 complete nation-year records (roughly 98% of the raw data) ready for analysis and visualisation.</w:t>
      </w:r>
    </w:p>
    <w:p>
      <w:pPr>
        <w:pStyle w:val="Heading1"/>
        <w:pBdr>
          <w:bottom w:val="single" w:color="1f3a5f" w:sz="6" w:space="4"/>
        </w:pBdr>
        <w:spacing w:after="200" w:before="400"/>
      </w:pPr>
      <w:r>
        <w:rPr>
          <w:b/>
          <w:bCs/>
          <w:color w:val="1f3a5f"/>
          <w:sz w:val="30"/>
          <w:szCs w:val="30"/>
        </w:rPr>
        <w:t xml:space="preserve">3. Analysis Method</w:t>
      </w:r>
    </w:p>
    <w:p>
      <w:pPr>
        <w:pStyle w:val="Heading2"/>
        <w:spacing w:after="140" w:before="280"/>
      </w:pPr>
      <w:r>
        <w:rPr>
          <w:b/>
          <w:bCs/>
          <w:color w:val="1f3a5f"/>
          <w:sz w:val="24"/>
          <w:szCs w:val="24"/>
        </w:rPr>
        <w:t xml:space="preserve">3.1 Tools</w:t>
      </w:r>
    </w:p>
    <w:p>
      <w:pPr>
        <w:pStyle w:val="ListParagraph"/>
        <w:numPr>
          <w:ilvl w:val="0"/>
          <w:numId w:val="2"/>
        </w:numPr>
        <w:spacing w:after="80" w:line="280"/>
      </w:pPr>
      <w:r>
        <w:rPr>
          <w:sz w:val="22"/>
          <w:szCs w:val="22"/>
        </w:rPr>
        <w:t xml:space="preserve">Power BI Desktop: served as the central analytical and visualisation engine, encompassing data modelling, DAX calculations, and interactive dashboard design.</w:t>
      </w:r>
    </w:p>
    <w:p>
      <w:pPr>
        <w:pStyle w:val="ListParagraph"/>
        <w:numPr>
          <w:ilvl w:val="0"/>
          <w:numId w:val="2"/>
        </w:numPr>
        <w:spacing w:after="80" w:line="280"/>
      </w:pPr>
      <w:r>
        <w:rPr>
          <w:sz w:val="22"/>
          <w:szCs w:val="22"/>
        </w:rPr>
        <w:t xml:space="preserve">Power Query: executed all ETL (extract, transform, load) operations, including data standardisation, outlier isolation, and preparation of dimension tables before import into the data model.</w:t>
      </w:r>
    </w:p>
    <w:p>
      <w:pPr>
        <w:pStyle w:val="Heading2"/>
        <w:spacing w:after="140" w:before="280"/>
      </w:pPr>
      <w:r>
        <w:rPr>
          <w:b/>
          <w:bCs/>
          <w:color w:val="1f3a5f"/>
          <w:sz w:val="24"/>
          <w:szCs w:val="24"/>
        </w:rPr>
        <w:t xml:space="preserve">3.2 Data model architecture</w:t>
      </w:r>
    </w:p>
    <w:p>
      <w:pPr>
        <w:spacing w:after="160" w:line="300"/>
      </w:pPr>
      <w:r>
        <w:rPr>
          <w:sz w:val="22"/>
          <w:szCs w:val="22"/>
        </w:rPr>
        <w:t xml:space="preserve">A star-schema data model was implemented with the Global_Development fact table linked to two key dimensions: a DateTable (many-to-one on Year) and a Regional_Mapping dimension table (many-to-one on Country Code). This architecture enables time-intelligence calculations and region-level filtering without ambiguity or double-counting.</w:t>
      </w:r>
    </w:p>
    <w:p>
      <w:pPr>
        <w:pStyle w:val="Heading2"/>
        <w:spacing w:after="140" w:before="280"/>
      </w:pPr>
      <w:r>
        <w:rPr>
          <w:b/>
          <w:bCs/>
          <w:color w:val="1f3a5f"/>
          <w:sz w:val="24"/>
          <w:szCs w:val="24"/>
        </w:rPr>
        <w:t xml:space="preserve">3.3 Analytical methods</w:t>
      </w:r>
    </w:p>
    <w:p>
      <w:pPr>
        <w:pStyle w:val="ListParagraph"/>
        <w:numPr>
          <w:ilvl w:val="0"/>
          <w:numId w:val="2"/>
        </w:numPr>
        <w:spacing w:after="80" w:line="280"/>
      </w:pPr>
      <w:r>
        <w:rPr>
          <w:sz w:val="22"/>
          <w:szCs w:val="22"/>
        </w:rPr>
        <w:t xml:space="preserve">Bivariate correlation analysis using scatter plots to isolate non-linear relationships between economic indicators (GDP) and human outcomes (life expectancy, unemployment).</w:t>
      </w:r>
    </w:p>
    <w:p>
      <w:pPr>
        <w:pStyle w:val="ListParagraph"/>
        <w:numPr>
          <w:ilvl w:val="0"/>
          <w:numId w:val="2"/>
        </w:numPr>
        <w:spacing w:after="80" w:line="280"/>
      </w:pPr>
      <w:r>
        <w:rPr>
          <w:sz w:val="22"/>
          <w:szCs w:val="22"/>
        </w:rPr>
        <w:t xml:space="preserve">Time-series decomposition to distinguish long-term development trajectories from short-term economic fluctuations over the full 58-year scope.</w:t>
      </w:r>
    </w:p>
    <w:p>
      <w:pPr>
        <w:pStyle w:val="ListParagraph"/>
        <w:numPr>
          <w:ilvl w:val="0"/>
          <w:numId w:val="2"/>
        </w:numPr>
        <w:spacing w:after="80" w:line="280"/>
      </w:pPr>
      <w:r>
        <w:rPr>
          <w:sz w:val="22"/>
          <w:szCs w:val="22"/>
        </w:rPr>
        <w:t xml:space="preserve">Dynamic median aggregation via custom DAX functions to neutralise outlier bias whilst preserving regional heterogeneity.</w:t>
      </w:r>
    </w:p>
    <w:p>
      <w:pPr>
        <w:pStyle w:val="ListParagraph"/>
        <w:numPr>
          <w:ilvl w:val="0"/>
          <w:numId w:val="2"/>
        </w:numPr>
        <w:spacing w:after="80" w:line="280"/>
      </w:pPr>
      <w:r>
        <w:rPr>
          <w:sz w:val="22"/>
          <w:szCs w:val="22"/>
        </w:rPr>
        <w:t xml:space="preserve">Demographic transition modelling to trace parallel trends in mortality reduction and birth-rate adjustment.</w:t>
      </w:r>
    </w:p>
    <w:p>
      <w:pPr>
        <w:pStyle w:val="ListParagraph"/>
        <w:numPr>
          <w:ilvl w:val="0"/>
          <w:numId w:val="2"/>
        </w:numPr>
        <w:spacing w:after="80" w:line="280"/>
      </w:pPr>
      <w:r>
        <w:rPr>
          <w:sz w:val="22"/>
          <w:szCs w:val="22"/>
        </w:rPr>
        <w:t xml:space="preserve">Visual design integration: dark navy accent bands and high-contrast layouts to anchor executive attention on critical insights.</w:t>
      </w:r>
    </w:p>
    <w:p>
      <w:pPr>
        <w:pStyle w:val="Heading2"/>
        <w:spacing w:after="140" w:before="280"/>
      </w:pPr>
      <w:r>
        <w:rPr>
          <w:b/>
          <w:bCs/>
          <w:color w:val="1f3a5f"/>
          <w:sz w:val="24"/>
          <w:szCs w:val="24"/>
        </w:rPr>
        <w:t xml:space="preserve">3.4 Assumptions</w:t>
      </w:r>
    </w:p>
    <w:p>
      <w:pPr>
        <w:pStyle w:val="ListParagraph"/>
        <w:numPr>
          <w:ilvl w:val="0"/>
          <w:numId w:val="2"/>
        </w:numPr>
        <w:spacing w:after="80" w:line="280"/>
      </w:pPr>
      <w:r>
        <w:rPr>
          <w:sz w:val="22"/>
          <w:szCs w:val="22"/>
        </w:rPr>
        <w:t xml:space="preserve">Median regional metrics provide an accurate reflection of development progress, completely insulating results from the distortion of wealth concentration in a handful of economies.</w:t>
      </w:r>
    </w:p>
    <w:p>
      <w:pPr>
        <w:pStyle w:val="ListParagraph"/>
        <w:numPr>
          <w:ilvl w:val="0"/>
          <w:numId w:val="2"/>
        </w:numPr>
        <w:spacing w:after="80" w:line="280"/>
      </w:pPr>
      <w:r>
        <w:rPr>
          <w:sz w:val="22"/>
          <w:szCs w:val="22"/>
        </w:rPr>
        <w:t xml:space="preserve">Historical administrative records represent true reporting rather than systematic measurement bias or retroactive revision.</w:t>
      </w:r>
    </w:p>
    <w:p>
      <w:pPr>
        <w:pStyle w:val="ListParagraph"/>
        <w:numPr>
          <w:ilvl w:val="0"/>
          <w:numId w:val="2"/>
        </w:numPr>
        <w:spacing w:after="80" w:line="280"/>
      </w:pPr>
      <w:r>
        <w:rPr>
          <w:sz w:val="22"/>
          <w:szCs w:val="22"/>
        </w:rPr>
        <w:t xml:space="preserve">Technological transitions (e.g. the internet) operate as global, simultaneous paradigm shifts rather than region-specific phenomena occurring at different times.</w:t>
      </w:r>
    </w:p>
    <w:p>
      <w:pPr>
        <w:pStyle w:val="ListParagraph"/>
        <w:numPr>
          <w:ilvl w:val="0"/>
          <w:numId w:val="2"/>
        </w:numPr>
        <w:spacing w:after="80" w:line="280"/>
      </w:pPr>
      <w:r>
        <w:rPr>
          <w:sz w:val="22"/>
          <w:szCs w:val="22"/>
        </w:rPr>
        <w:t xml:space="preserve">Data gaps (1971 to 1989 electricity reporting) are missing-at-random rather than systematic underreporting by specific regions.</w:t>
      </w:r>
    </w:p>
    <w:p>
      <w:pPr>
        <w:pStyle w:val="Heading1"/>
        <w:pBdr>
          <w:bottom w:val="single" w:color="1f3a5f" w:sz="6" w:space="4"/>
        </w:pBdr>
        <w:spacing w:after="200" w:before="400"/>
      </w:pPr>
      <w:r>
        <w:rPr>
          <w:b/>
          <w:bCs/>
          <w:color w:val="1f3a5f"/>
          <w:sz w:val="30"/>
          <w:szCs w:val="30"/>
        </w:rPr>
        <w:t xml:space="preserve">4. Results</w:t>
      </w:r>
    </w:p>
    <w:p>
      <w:pPr>
        <w:pStyle w:val="Heading2"/>
        <w:spacing w:after="140" w:before="280"/>
      </w:pPr>
      <w:r>
        <w:rPr>
          <w:b/>
          <w:bCs/>
          <w:color w:val="1f3a5f"/>
          <w:sz w:val="24"/>
          <w:szCs w:val="24"/>
        </w:rPr>
        <w:t xml:space="preserve">4.1 Global overview and headline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a5f" w:val="clear"/>
            <w:tcMar>
              <w:top w:type="dxa" w:w="80"/>
              <w:left w:type="dxa" w:w="120"/>
              <w:bottom w:type="dxa" w:w="80"/>
              <w:right w:type="dxa" w:w="120"/>
            </w:tcMar>
          </w:tcPr>
          <w:p>
            <w:r>
              <w:rPr>
                <w:b/>
                <w:bCs/>
                <w:color w:val="FFFFFF"/>
                <w:sz w:val="20"/>
                <w:szCs w:val="20"/>
              </w:rPr>
              <w:t xml:space="preserve">Metric</w:t>
            </w:r>
          </w:p>
        </w:tc>
        <w:tc>
          <w:tcPr>
            <w:tcW w:type="dxa" w:w="4500"/>
            <w:shd w:fill="1f3a5f" w:val="clear"/>
            <w:tcMar>
              <w:top w:type="dxa" w:w="80"/>
              <w:left w:type="dxa" w:w="120"/>
              <w:bottom w:type="dxa" w:w="80"/>
              <w:right w:type="dxa" w:w="120"/>
            </w:tcMar>
          </w:tcPr>
          <w:p>
            <w:r>
              <w:rPr>
                <w:b/>
                <w:bCs/>
                <w:color w:val="FFFFFF"/>
                <w:sz w:val="20"/>
                <w:szCs w:val="20"/>
              </w:rPr>
              <w:t xml:space="preserve">Value</w:t>
            </w:r>
          </w:p>
        </w:tc>
      </w:tr>
      <w:tr>
        <w:tc>
          <w:tcPr>
            <w:tcW w:type="dxa" w:w="4500"/>
            <w:tcMar>
              <w:top w:type="dxa" w:w="80"/>
              <w:left w:type="dxa" w:w="120"/>
              <w:bottom w:type="dxa" w:w="80"/>
              <w:right w:type="dxa" w:w="120"/>
            </w:tcMar>
          </w:tcPr>
          <w:p>
            <w:r>
              <w:rPr>
                <w:b w:val="false"/>
                <w:bCs w:val="false"/>
                <w:color w:val="222222"/>
                <w:sz w:val="20"/>
                <w:szCs w:val="20"/>
              </w:rPr>
              <w:t xml:space="preserve">Global life expectancy (1960-2018 average)</w:t>
            </w:r>
          </w:p>
        </w:tc>
        <w:tc>
          <w:tcPr>
            <w:tcW w:type="dxa" w:w="4500"/>
            <w:tcMar>
              <w:top w:type="dxa" w:w="80"/>
              <w:left w:type="dxa" w:w="120"/>
              <w:bottom w:type="dxa" w:w="80"/>
              <w:right w:type="dxa" w:w="120"/>
            </w:tcMar>
          </w:tcPr>
          <w:p>
            <w:r>
              <w:rPr>
                <w:b w:val="false"/>
                <w:bCs w:val="false"/>
                <w:color w:val="222222"/>
                <w:sz w:val="20"/>
                <w:szCs w:val="20"/>
              </w:rPr>
              <w:t xml:space="preserve">64.04 years</w:t>
            </w:r>
          </w:p>
        </w:tc>
      </w:tr>
      <w:tr>
        <w:tc>
          <w:tcPr>
            <w:tcW w:type="dxa" w:w="4500"/>
            <w:tcMar>
              <w:top w:type="dxa" w:w="80"/>
              <w:left w:type="dxa" w:w="120"/>
              <w:bottom w:type="dxa" w:w="80"/>
              <w:right w:type="dxa" w:w="120"/>
            </w:tcMar>
          </w:tcPr>
          <w:p>
            <w:r>
              <w:rPr>
                <w:b w:val="false"/>
                <w:bCs w:val="false"/>
                <w:color w:val="222222"/>
                <w:sz w:val="20"/>
                <w:szCs w:val="20"/>
              </w:rPr>
              <w:t xml:space="preserve">Global GDP per capita (1960-2018 average)</w:t>
            </w:r>
          </w:p>
        </w:tc>
        <w:tc>
          <w:tcPr>
            <w:tcW w:type="dxa" w:w="4500"/>
            <w:tcMar>
              <w:top w:type="dxa" w:w="80"/>
              <w:left w:type="dxa" w:w="120"/>
              <w:bottom w:type="dxa" w:w="80"/>
              <w:right w:type="dxa" w:w="120"/>
            </w:tcMar>
          </w:tcPr>
          <w:p>
            <w:r>
              <w:rPr>
                <w:b w:val="false"/>
                <w:bCs w:val="false"/>
                <w:color w:val="222222"/>
                <w:sz w:val="20"/>
                <w:szCs w:val="20"/>
              </w:rPr>
              <w:t xml:space="preserve">$8,234 USD</w:t>
            </w:r>
          </w:p>
        </w:tc>
      </w:tr>
      <w:tr>
        <w:tc>
          <w:tcPr>
            <w:tcW w:type="dxa" w:w="4500"/>
            <w:tcMar>
              <w:top w:type="dxa" w:w="80"/>
              <w:left w:type="dxa" w:w="120"/>
              <w:bottom w:type="dxa" w:w="80"/>
              <w:right w:type="dxa" w:w="120"/>
            </w:tcMar>
          </w:tcPr>
          <w:p>
            <w:r>
              <w:rPr>
                <w:b w:val="false"/>
                <w:bCs w:val="false"/>
                <w:color w:val="222222"/>
                <w:sz w:val="20"/>
                <w:szCs w:val="20"/>
              </w:rPr>
              <w:t xml:space="preserve">Global unemployment rate (1960-2018 average)</w:t>
            </w:r>
          </w:p>
        </w:tc>
        <w:tc>
          <w:tcPr>
            <w:tcW w:type="dxa" w:w="4500"/>
            <w:tcMar>
              <w:top w:type="dxa" w:w="80"/>
              <w:left w:type="dxa" w:w="120"/>
              <w:bottom w:type="dxa" w:w="80"/>
              <w:right w:type="dxa" w:w="120"/>
            </w:tcMar>
          </w:tcPr>
          <w:p>
            <w:r>
              <w:rPr>
                <w:b w:val="false"/>
                <w:bCs w:val="false"/>
                <w:color w:val="222222"/>
                <w:sz w:val="20"/>
                <w:szCs w:val="20"/>
              </w:rPr>
              <w:t xml:space="preserve">8.30%</w:t>
            </w:r>
          </w:p>
        </w:tc>
      </w:tr>
      <w:tr>
        <w:tc>
          <w:tcPr>
            <w:tcW w:type="dxa" w:w="4500"/>
            <w:tcMar>
              <w:top w:type="dxa" w:w="80"/>
              <w:left w:type="dxa" w:w="120"/>
              <w:bottom w:type="dxa" w:w="80"/>
              <w:right w:type="dxa" w:w="120"/>
            </w:tcMar>
          </w:tcPr>
          <w:p>
            <w:r>
              <w:rPr>
                <w:b w:val="false"/>
                <w:bCs w:val="false"/>
                <w:color w:val="222222"/>
                <w:sz w:val="20"/>
                <w:szCs w:val="20"/>
              </w:rPr>
              <w:t xml:space="preserve">Unique nations tracked</w:t>
            </w:r>
          </w:p>
        </w:tc>
        <w:tc>
          <w:tcPr>
            <w:tcW w:type="dxa" w:w="4500"/>
            <w:tcMar>
              <w:top w:type="dxa" w:w="80"/>
              <w:left w:type="dxa" w:w="120"/>
              <w:bottom w:type="dxa" w:w="80"/>
              <w:right w:type="dxa" w:w="120"/>
            </w:tcMar>
          </w:tcPr>
          <w:p>
            <w:r>
              <w:rPr>
                <w:b w:val="false"/>
                <w:bCs w:val="false"/>
                <w:color w:val="222222"/>
                <w:sz w:val="20"/>
                <w:szCs w:val="20"/>
              </w:rPr>
              <w:t xml:space="preserve">211</w:t>
            </w:r>
          </w:p>
        </w:tc>
      </w:tr>
      <w:tr>
        <w:tc>
          <w:tcPr>
            <w:tcW w:type="dxa" w:w="4500"/>
            <w:tcMar>
              <w:top w:type="dxa" w:w="80"/>
              <w:left w:type="dxa" w:w="120"/>
              <w:bottom w:type="dxa" w:w="80"/>
              <w:right w:type="dxa" w:w="120"/>
            </w:tcMar>
          </w:tcPr>
          <w:p>
            <w:r>
              <w:rPr>
                <w:b w:val="false"/>
                <w:bCs w:val="false"/>
                <w:color w:val="222222"/>
                <w:sz w:val="20"/>
                <w:szCs w:val="20"/>
              </w:rPr>
              <w:t xml:space="preserve">Data points collected</w:t>
            </w:r>
          </w:p>
        </w:tc>
        <w:tc>
          <w:tcPr>
            <w:tcW w:type="dxa" w:w="4500"/>
            <w:tcMar>
              <w:top w:type="dxa" w:w="80"/>
              <w:left w:type="dxa" w:w="120"/>
              <w:bottom w:type="dxa" w:w="80"/>
              <w:right w:type="dxa" w:w="120"/>
            </w:tcMar>
          </w:tcPr>
          <w:p>
            <w:r>
              <w:rPr>
                <w:b w:val="false"/>
                <w:bCs w:val="false"/>
                <w:color w:val="222222"/>
                <w:sz w:val="20"/>
                <w:szCs w:val="20"/>
              </w:rPr>
              <w:t xml:space="preserve">~150,000 annual records</w:t>
            </w:r>
          </w:p>
        </w:tc>
      </w:tr>
    </w:tbl>
    <w:p>
      <w:pPr>
        <w:spacing w:after="300"/>
        <w:jc w:val="center"/>
      </w:pPr>
      <w:r>
        <w:rPr>
          <w:i/>
          <w:iCs/>
          <w:color w:val="444444"/>
          <w:sz w:val="20"/>
          <w:szCs w:val="20"/>
        </w:rPr>
        <w:t xml:space="preserve">Table 1. Headline global metrics across 58 years (1960 to 2018).</w:t>
      </w:r>
    </w:p>
    <w:p>
      <w:pPr>
        <w:spacing w:after="160" w:line="300"/>
      </w:pPr>
      <w:r>
        <w:rPr>
          <w:sz w:val="22"/>
          <w:szCs w:val="22"/>
        </w:rPr>
        <w:t xml:space="preserve">Aggregate statistics reveal profound regional inequality. High-income OECD nations maintained baseline life expectancies above 72 years throughout the period, whilst Low Income countries averaged just 54 years. This gap persists despite broad convergence trends, suggesting that early-stage development unlocks mortality gains rapidly, but sustained inequality remains locked in place by structural factors.</w:t>
      </w:r>
    </w:p>
    <w:p>
      <w:pPr>
        <w:pStyle w:val="Heading2"/>
        <w:spacing w:after="140" w:before="280"/>
      </w:pPr>
      <w:r>
        <w:rPr>
          <w:b/>
          <w:bCs/>
          <w:color w:val="1f3a5f"/>
          <w:sz w:val="24"/>
          <w:szCs w:val="24"/>
        </w:rPr>
        <w:t xml:space="preserve">4.2 The digitisation effect and energy decoupling</w:t>
      </w:r>
    </w:p>
    <w:p>
      <w:pPr>
        <w:spacing w:after="160" w:line="300"/>
      </w:pPr>
      <w:r>
        <w:rPr>
          <w:sz w:val="22"/>
          <w:szCs w:val="22"/>
        </w:rPr>
        <w:t xml:space="preserve">A critical finding emerged during the 1999 to 2018 era. As internet penetration expanded exponentially across all income groups (from ~5% of the global population in 1995 to over 50% by 2018), per capita electricity consumption plateaued rather than accelerating as historical patterns would predict. This decoupling signals that modern technological advancement operates via efficiency gains and dematerialisation rather than raw resource consumption. Advanced economies increasingly derive output growth from information services rather than physical commodity production.</w:t>
      </w:r>
    </w:p>
    <w:p>
      <w:pPr>
        <w:pStyle w:val="Heading2"/>
        <w:spacing w:after="140" w:before="280"/>
      </w:pPr>
      <w:r>
        <w:rPr>
          <w:b/>
          <w:bCs/>
          <w:color w:val="1f3a5f"/>
          <w:sz w:val="24"/>
          <w:szCs w:val="24"/>
        </w:rPr>
        <w:t xml:space="preserve">4.3 The Preston Curve and wealth-to-health dynamics</w:t>
      </w:r>
    </w:p>
    <w:p>
      <w:pPr>
        <w:spacing w:after="160" w:line="300"/>
      </w:pPr>
      <w:r>
        <w:rPr>
          <w:sz w:val="22"/>
          <w:szCs w:val="22"/>
        </w:rPr>
        <w:t xml:space="preserve">Scatter analysis of GDP per capita against life expectancy confirmed the Preston Curve phenomenon: a strong, but diminishing, relationship between wealth and longevity. Low-income nations (earning $1,000 to $5,000 per capita) saw life expectancy gains of 10 to 15 years for each doubling of income. By contrast, high-income nations above $20,000 per capita exhibited minimal life expectancy gains despite substantial further wealth accumulation. This implies that beyond a development threshold, health returns from additional wealth collapse, and progress depends on distinct policy levers (healthcare system efficiency, lifestyle interventions, ageing-population management).</w:t>
      </w:r>
    </w:p>
    <w:p>
      <w:pPr>
        <w:pStyle w:val="Heading2"/>
        <w:spacing w:after="140" w:before="280"/>
      </w:pPr>
      <w:r>
        <w:rPr>
          <w:b/>
          <w:bCs/>
          <w:color w:val="1f3a5f"/>
          <w:sz w:val="24"/>
          <w:szCs w:val="24"/>
        </w:rPr>
        <w:t xml:space="preserve">4.4 Demographic transition lag</w:t>
      </w:r>
    </w:p>
    <w:p>
      <w:pPr>
        <w:spacing w:after="160" w:line="300"/>
      </w:pPr>
      <w:r>
        <w:rPr>
          <w:sz w:val="22"/>
          <w:szCs w:val="22"/>
        </w:rPr>
        <w:t xml:space="preserve">Analysis confirmed the classic Demographic Transition Model. Infant mortality declined sharply within 5 to 10 years of healthcare infrastructure improvements (measurable via rising life expectancy at birth). Birth rates, however, declined much more slowly, with a lag of 15 to 30 years observed across developing regions. This lag explains the population surges of the 1970s and 1980s in nations such as India, Nigeria, and Bangladesh, where death rates fell rapidly but fertility remained high due to cultural and institutional persistence.</w:t>
      </w:r>
    </w:p>
    <w:p>
      <w:pPr>
        <w:pStyle w:val="Heading2"/>
        <w:spacing w:after="140" w:before="280"/>
      </w:pPr>
      <w:r>
        <w:rPr>
          <w:b/>
          <w:bCs/>
          <w:color w:val="1f3a5f"/>
          <w:sz w:val="24"/>
          <w:szCs w:val="24"/>
        </w:rPr>
        <w:t xml:space="preserve">4.5 Employment and economic paradox</w:t>
      </w:r>
    </w:p>
    <w:p>
      <w:pPr>
        <w:spacing w:after="160" w:line="300"/>
      </w:pPr>
      <w:r>
        <w:rPr>
          <w:sz w:val="22"/>
          <w:szCs w:val="22"/>
        </w:rPr>
        <w:t xml:space="preserve">Counter-intuitively, high GDP growth does not automatically lower unemployment. Several advanced nations sustained unemployment rates of 7 to 10% throughout the 1990s and 2000s despite strong economic expansion. This suggests that labour market outcomes are governed by separate structural factors: automation, workforce training pipelines, regional labour mobility, and labour market regulation operate independently of top-line GDP momentum.</w:t>
      </w:r>
    </w:p>
    <w:p>
      <w:pPr>
        <w:pStyle w:val="Heading1"/>
        <w:pBdr>
          <w:bottom w:val="single" w:color="1f3a5f" w:sz="6" w:space="4"/>
        </w:pBdr>
        <w:spacing w:after="200" w:before="400"/>
      </w:pPr>
      <w:r>
        <w:rPr>
          <w:b/>
          <w:bCs/>
          <w:color w:val="1f3a5f"/>
          <w:sz w:val="30"/>
          <w:szCs w:val="30"/>
        </w:rPr>
        <w:t xml:space="preserve">5. Discussion</w:t>
      </w:r>
    </w:p>
    <w:p>
      <w:pPr>
        <w:spacing w:after="160" w:line="300"/>
      </w:pPr>
      <w:r>
        <w:rPr>
          <w:sz w:val="22"/>
          <w:szCs w:val="22"/>
        </w:rPr>
        <w:t xml:space="preserve">The results reveal three key themes that reshape how we understand global development. First, the decoupling of technology from energy consumption proves that modern progress is increasingly defined by efficiency, not resource volume. Second, the flattening of the Preston Curve at high income levels shows that wealth alone ceases to improve human wellbeing beyond a structural threshold. Third, the persistence of unemployment despite growth, and the lag in birth-rate adjustment despite mortality decline, demonstrate that macroeconomic progress masks distinct sectoral and demographic frictions that operate on their own timescales.</w:t>
      </w:r>
    </w:p>
    <w:p>
      <w:pPr>
        <w:pStyle w:val="Heading2"/>
        <w:spacing w:after="140" w:before="280"/>
      </w:pPr>
      <w:r>
        <w:rPr>
          <w:b/>
          <w:bCs/>
          <w:color w:val="1f3a5f"/>
          <w:sz w:val="24"/>
          <w:szCs w:val="24"/>
        </w:rPr>
        <w:t xml:space="preserve">5.1 Limitations</w:t>
      </w:r>
    </w:p>
    <w:p>
      <w:pPr>
        <w:pStyle w:val="ListParagraph"/>
        <w:numPr>
          <w:ilvl w:val="0"/>
          <w:numId w:val="2"/>
        </w:numPr>
        <w:spacing w:after="80" w:line="280"/>
      </w:pPr>
      <w:r>
        <w:rPr>
          <w:sz w:val="22"/>
          <w:szCs w:val="22"/>
        </w:rPr>
        <w:t xml:space="preserve">Incomplete power consumption data (1971 to 1989) requires careful contextual filtering to avoid baseline distortion when presenting energy trends.</w:t>
      </w:r>
    </w:p>
    <w:p>
      <w:pPr>
        <w:pStyle w:val="ListParagraph"/>
        <w:numPr>
          <w:ilvl w:val="0"/>
          <w:numId w:val="2"/>
        </w:numPr>
        <w:spacing w:after="80" w:line="280"/>
      </w:pPr>
      <w:r>
        <w:rPr>
          <w:sz w:val="22"/>
          <w:szCs w:val="22"/>
        </w:rPr>
        <w:t xml:space="preserve">Small-nation statistical bias: treating all 211 nations equally in unweighted averages means a 10-million-person economy exerts the same statistical pull as a 1.4-billion-person economy. Population-weighted DAX models are necessary for globally representative averages.</w:t>
      </w:r>
    </w:p>
    <w:p>
      <w:pPr>
        <w:pStyle w:val="ListParagraph"/>
        <w:numPr>
          <w:ilvl w:val="0"/>
          <w:numId w:val="2"/>
        </w:numPr>
        <w:spacing w:after="80" w:line="280"/>
      </w:pPr>
      <w:r>
        <w:rPr>
          <w:sz w:val="22"/>
          <w:szCs w:val="22"/>
        </w:rPr>
        <w:t xml:space="preserve">The dataset ends in 2018, precluding analysis of pandemic-era disruptions, the recent green energy transition, and post-2020 labour market shifts.</w:t>
      </w:r>
    </w:p>
    <w:p>
      <w:pPr>
        <w:pStyle w:val="ListParagraph"/>
        <w:numPr>
          <w:ilvl w:val="0"/>
          <w:numId w:val="2"/>
        </w:numPr>
        <w:spacing w:after="80" w:line="280"/>
      </w:pPr>
      <w:r>
        <w:rPr>
          <w:sz w:val="22"/>
          <w:szCs w:val="22"/>
        </w:rPr>
        <w:t xml:space="preserve">Measurement differences across nations (e.g. unemployment definitions vary by country) introduce incomparability, particularly in developing economies where informal employment dominates.</w:t>
      </w:r>
    </w:p>
    <w:p>
      <w:pPr>
        <w:pStyle w:val="Heading2"/>
        <w:spacing w:after="140" w:before="280"/>
      </w:pPr>
      <w:r>
        <w:rPr>
          <w:b/>
          <w:bCs/>
          <w:color w:val="1f3a5f"/>
          <w:sz w:val="24"/>
          <w:szCs w:val="24"/>
        </w:rPr>
        <w:t xml:space="preserve">5.2 Suggested improvements</w:t>
      </w:r>
    </w:p>
    <w:p>
      <w:pPr>
        <w:pStyle w:val="ListParagraph"/>
        <w:numPr>
          <w:ilvl w:val="0"/>
          <w:numId w:val="2"/>
        </w:numPr>
        <w:spacing w:after="80" w:line="280"/>
      </w:pPr>
      <w:r>
        <w:rPr>
          <w:sz w:val="22"/>
          <w:szCs w:val="22"/>
        </w:rPr>
        <w:t xml:space="preserve">Implement population-weighted aggregations in the DAX layer to ensure global averages reflect real human distribution rather than equal nation-state treatment.</w:t>
      </w:r>
    </w:p>
    <w:p>
      <w:pPr>
        <w:pStyle w:val="ListParagraph"/>
        <w:numPr>
          <w:ilvl w:val="0"/>
          <w:numId w:val="2"/>
        </w:numPr>
        <w:spacing w:after="80" w:line="280"/>
      </w:pPr>
      <w:r>
        <w:rPr>
          <w:sz w:val="22"/>
          <w:szCs w:val="22"/>
        </w:rPr>
        <w:t xml:space="preserve">Integrate carbon emissions and renewable energy adoption data to evaluate the long-term sustainability of energy decoupling and digitisation gains.</w:t>
      </w:r>
    </w:p>
    <w:p>
      <w:pPr>
        <w:pStyle w:val="ListParagraph"/>
        <w:numPr>
          <w:ilvl w:val="0"/>
          <w:numId w:val="2"/>
        </w:numPr>
        <w:spacing w:after="80" w:line="280"/>
      </w:pPr>
      <w:r>
        <w:rPr>
          <w:sz w:val="22"/>
          <w:szCs w:val="22"/>
        </w:rPr>
        <w:t xml:space="preserve">Expand the timeline to present day to capture pandemic recovery, labour market automation effects, and climate policy responses.</w:t>
      </w:r>
    </w:p>
    <w:p>
      <w:pPr>
        <w:pStyle w:val="ListParagraph"/>
        <w:numPr>
          <w:ilvl w:val="0"/>
          <w:numId w:val="2"/>
        </w:numPr>
        <w:spacing w:after="80" w:line="280"/>
      </w:pPr>
      <w:r>
        <w:rPr>
          <w:sz w:val="22"/>
          <w:szCs w:val="22"/>
        </w:rPr>
        <w:t xml:space="preserve">Pair with qualitative case-study data to explain why certain nations succeeded in development transition whilst others stalled, moving beyond correlative observation to causal interpretation.</w:t>
      </w:r>
    </w:p>
    <w:p>
      <w:pPr>
        <w:pStyle w:val="Heading1"/>
        <w:pBdr>
          <w:bottom w:val="single" w:color="1f3a5f" w:sz="6" w:space="4"/>
        </w:pBdr>
        <w:spacing w:after="200" w:before="400"/>
      </w:pPr>
      <w:r>
        <w:rPr>
          <w:b/>
          <w:bCs/>
          <w:color w:val="1f3a5f"/>
          <w:sz w:val="30"/>
          <w:szCs w:val="30"/>
        </w:rPr>
        <w:t xml:space="preserve">6. Conclusion</w:t>
      </w:r>
    </w:p>
    <w:p>
      <w:pPr>
        <w:spacing w:after="160" w:line="300"/>
      </w:pPr>
      <w:r>
        <w:rPr>
          <w:sz w:val="22"/>
          <w:szCs w:val="22"/>
        </w:rPr>
        <w:t xml:space="preserve">This Power BI dashboard distils 58 years of global development data across 211 nations into a coherent narrative of human progress. The central insights reveal that modern development no longer follows industrial-era logic: technological advancement now operates through efficiency rather than resource consumption, healthcare gains flatten beyond a wealth threshold, and labour market outcomes operate independently of economic growth.</w:t>
      </w:r>
    </w:p>
    <w:p>
      <w:pPr>
        <w:spacing w:after="160" w:line="300"/>
      </w:pPr>
      <w:r>
        <w:rPr>
          <w:sz w:val="22"/>
          <w:szCs w:val="22"/>
        </w:rPr>
        <w:t xml:space="preserve">The platform enables executives, policymakers, and researchers to move past static regional snapshots and trace the multi-decade trajectories that define real human progress. By isolating median regional trends and implementing dynamic, context-aware visualisations, the dashboard minimises the distortion of outlier bias whilst preserving the heterogeneity of real global inequality.</w:t>
      </w:r>
    </w:p>
    <w:p>
      <w:pPr>
        <w:spacing w:after="160" w:line="300"/>
      </w:pPr>
      <w:r>
        <w:rPr>
          <w:sz w:val="22"/>
          <w:szCs w:val="22"/>
        </w:rPr>
        <w:t xml:space="preserve">The next phase of analysis should extend the timeline to present day, weight calculations by national population, and integrate environmental metrics to evaluate the long-term sustainability of the efficiency gains observed in the digital era.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2026-07-20T13:00:32.448Z</dcterms:created>
  <dcterms:modified xsi:type="dcterms:W3CDTF">2026-07-20T13:00:32.461Z</dcterms:modified>
</cp:coreProperties>
</file>

<file path=docProps/custom.xml><?xml version="1.0" encoding="utf-8"?>
<Properties xmlns="http://schemas.openxmlformats.org/officeDocument/2006/custom-properties" xmlns:vt="http://schemas.openxmlformats.org/officeDocument/2006/docPropsVTypes"/>
</file>