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hd w:fill="1F3864" w:val="clear"/>
        <w:spacing w:after="40" w:before="0"/>
        <w:jc w:val="center"/>
      </w:pPr>
      <w:r>
        <w:rPr>
          <w:rFonts w:ascii="Arial" w:cs="Arial" w:eastAsia="Arial" w:hAnsi="Arial"/>
          <w:b/>
          <w:bCs/>
          <w:color w:val="FFFFFF"/>
          <w:sz w:val="48"/>
          <w:szCs w:val="48"/>
        </w:rPr>
        <w:t xml:space="preserve">NYC MOTOR VEHICLE COLLISIONS 2020</w:t>
      </w:r>
    </w:p>
    <w:p>
      <w:pPr>
        <w:shd w:fill="1F3864" w:val="clear"/>
        <w:spacing w:after="40" w:before="0"/>
        <w:jc w:val="center"/>
      </w:pPr>
      <w:r>
        <w:rPr>
          <w:rFonts w:ascii="Arial" w:cs="Arial" w:eastAsia="Arial" w:hAnsi="Arial"/>
          <w:color w:val="B8D4F0"/>
          <w:sz w:val="30"/>
          <w:szCs w:val="30"/>
        </w:rPr>
        <w:t xml:space="preserve">Technical Documentation</w:t>
      </w:r>
    </w:p>
    <w:p>
      <w:pPr>
        <w:shd w:fill="1F3864" w:val="clear"/>
        <w:spacing w:after="60" w:before="0"/>
        <w:jc w:val="center"/>
      </w:pPr>
      <w:r>
        <w:rPr>
          <w:rFonts w:ascii="Arial" w:cs="Arial" w:eastAsia="Arial" w:hAnsi="Arial"/>
          <w:color w:val="B8D4F0"/>
          <w:sz w:val="20"/>
          <w:szCs w:val="20"/>
        </w:rPr>
        <w:t xml:space="preserve">January 2020 to August 2020  |  74,881 Collisions  |  New York City</w:t>
      </w:r>
    </w:p>
    <w:p>
      <w:pPr>
        <w:spacing w:after="0" w:before="8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430"/>
        <w:gridCol w:w="2430"/>
        <w:gridCol w:w="2430"/>
        <w:gridCol w:w="2430"/>
      </w:tblGrid>
      <w:tr>
        <w:tc>
          <w:tcPr>
            <w:tcW w:type="dxa" w:w="2430"/>
            <w:tcBorders>
              <w:top w:val="none" w:color="FFFFFF" w:sz="0"/>
              <w:start w:val="none" w:color="FFFFFF" w:sz="0"/>
              <w:bottom w:val="none" w:color="FFFFFF" w:sz="0"/>
              <w:end w:val="none" w:color="FFFFFF" w:sz="0"/>
            </w:tcBorders>
            <w:shd w:fill="D6E4F0" w:val="clear"/>
            <w:tcMar>
              <w:top w:type="dxa" w:w="120"/>
              <w:left w:type="dxa" w:w="120"/>
              <w:bottom w:type="dxa" w:w="120"/>
              <w:right w:type="dxa" w:w="120"/>
            </w:tcMar>
            <w:vAlign w:val="center"/>
          </w:tcPr>
          <w:p>
            <w:pPr>
              <w:jc w:val="center"/>
            </w:pPr>
            <w:r>
              <w:rPr>
                <w:rFonts w:ascii="Arial" w:cs="Arial" w:eastAsia="Arial" w:hAnsi="Arial"/>
                <w:b/>
                <w:bCs/>
                <w:color w:val="2E75B6"/>
                <w:sz w:val="32"/>
                <w:szCs w:val="32"/>
              </w:rPr>
              <w:t xml:space="preserve">74,881</w:t>
            </w:r>
          </w:p>
          <w:p>
            <w:pPr>
              <w:jc w:val="center"/>
            </w:pPr>
            <w:r>
              <w:rPr>
                <w:rFonts w:ascii="Arial" w:cs="Arial" w:eastAsia="Arial" w:hAnsi="Arial"/>
                <w:color w:val="555555"/>
                <w:sz w:val="18"/>
                <w:szCs w:val="18"/>
              </w:rPr>
              <w:t xml:space="preserve">Total Collisions</w:t>
            </w:r>
          </w:p>
        </w:tc>
        <w:tc>
          <w:tcPr>
            <w:tcW w:type="dxa" w:w="2430"/>
            <w:tcBorders>
              <w:top w:val="none" w:color="FFFFFF" w:sz="0"/>
              <w:start w:val="none" w:color="FFFFFF" w:sz="0"/>
              <w:bottom w:val="none" w:color="FFFFFF" w:sz="0"/>
              <w:end w:val="none" w:color="FFFFFF" w:sz="0"/>
            </w:tcBorders>
            <w:shd w:fill="D6E4F0" w:val="clear"/>
            <w:tcMar>
              <w:top w:type="dxa" w:w="120"/>
              <w:left w:type="dxa" w:w="120"/>
              <w:bottom w:type="dxa" w:w="120"/>
              <w:right w:type="dxa" w:w="120"/>
            </w:tcMar>
            <w:vAlign w:val="center"/>
          </w:tcPr>
          <w:p>
            <w:pPr>
              <w:jc w:val="center"/>
            </w:pPr>
            <w:r>
              <w:rPr>
                <w:rFonts w:ascii="Arial" w:cs="Arial" w:eastAsia="Arial" w:hAnsi="Arial"/>
                <w:b/>
                <w:bCs/>
                <w:color w:val="C0392B"/>
                <w:sz w:val="32"/>
                <w:szCs w:val="32"/>
              </w:rPr>
              <w:t xml:space="preserve">27,448</w:t>
            </w:r>
          </w:p>
          <w:p>
            <w:pPr>
              <w:jc w:val="center"/>
            </w:pPr>
            <w:r>
              <w:rPr>
                <w:rFonts w:ascii="Arial" w:cs="Arial" w:eastAsia="Arial" w:hAnsi="Arial"/>
                <w:color w:val="555555"/>
                <w:sz w:val="18"/>
                <w:szCs w:val="18"/>
              </w:rPr>
              <w:t xml:space="preserve">People Injured</w:t>
            </w:r>
          </w:p>
        </w:tc>
        <w:tc>
          <w:tcPr>
            <w:tcW w:type="dxa" w:w="2430"/>
            <w:tcBorders>
              <w:top w:val="none" w:color="FFFFFF" w:sz="0"/>
              <w:start w:val="none" w:color="FFFFFF" w:sz="0"/>
              <w:bottom w:val="none" w:color="FFFFFF" w:sz="0"/>
              <w:end w:val="none" w:color="FFFFFF" w:sz="0"/>
            </w:tcBorders>
            <w:shd w:fill="D6E4F0" w:val="clear"/>
            <w:tcMar>
              <w:top w:type="dxa" w:w="120"/>
              <w:left w:type="dxa" w:w="120"/>
              <w:bottom w:type="dxa" w:w="120"/>
              <w:right w:type="dxa" w:w="120"/>
            </w:tcMar>
            <w:vAlign w:val="center"/>
          </w:tcPr>
          <w:p>
            <w:pPr>
              <w:jc w:val="center"/>
            </w:pPr>
            <w:r>
              <w:rPr>
                <w:rFonts w:ascii="Arial" w:cs="Arial" w:eastAsia="Arial" w:hAnsi="Arial"/>
                <w:b/>
                <w:bCs/>
                <w:color w:val="C0392B"/>
                <w:sz w:val="32"/>
                <w:szCs w:val="32"/>
              </w:rPr>
              <w:t xml:space="preserve">144</w:t>
            </w:r>
          </w:p>
          <w:p>
            <w:pPr>
              <w:jc w:val="center"/>
            </w:pPr>
            <w:r>
              <w:rPr>
                <w:rFonts w:ascii="Arial" w:cs="Arial" w:eastAsia="Arial" w:hAnsi="Arial"/>
                <w:color w:val="555555"/>
                <w:sz w:val="18"/>
                <w:szCs w:val="18"/>
              </w:rPr>
              <w:t xml:space="preserve">Fatalities</w:t>
            </w:r>
          </w:p>
        </w:tc>
        <w:tc>
          <w:tcPr>
            <w:tcW w:type="dxa" w:w="2430"/>
            <w:tcBorders>
              <w:top w:val="none" w:color="FFFFFF" w:sz="0"/>
              <w:start w:val="none" w:color="FFFFFF" w:sz="0"/>
              <w:bottom w:val="none" w:color="FFFFFF" w:sz="0"/>
              <w:end w:val="none" w:color="FFFFFF" w:sz="0"/>
            </w:tcBorders>
            <w:shd w:fill="D6E4F0" w:val="clear"/>
            <w:tcMar>
              <w:top w:type="dxa" w:w="120"/>
              <w:left w:type="dxa" w:w="120"/>
              <w:bottom w:type="dxa" w:w="120"/>
              <w:right w:type="dxa" w:w="120"/>
            </w:tcMar>
            <w:vAlign w:val="center"/>
          </w:tcPr>
          <w:p>
            <w:pPr>
              <w:jc w:val="center"/>
            </w:pPr>
            <w:r>
              <w:rPr>
                <w:rFonts w:ascii="Arial" w:cs="Arial" w:eastAsia="Arial" w:hAnsi="Arial"/>
                <w:b/>
                <w:bCs/>
                <w:color w:val="E67E22"/>
                <w:sz w:val="32"/>
                <w:szCs w:val="32"/>
              </w:rPr>
              <w:t xml:space="preserve">0.19%</w:t>
            </w:r>
          </w:p>
          <w:p>
            <w:pPr>
              <w:jc w:val="center"/>
            </w:pPr>
            <w:r>
              <w:rPr>
                <w:rFonts w:ascii="Arial" w:cs="Arial" w:eastAsia="Arial" w:hAnsi="Arial"/>
                <w:color w:val="555555"/>
                <w:sz w:val="18"/>
                <w:szCs w:val="18"/>
              </w:rPr>
              <w:t xml:space="preserve">Fatality Rate</w:t>
            </w:r>
          </w:p>
        </w:tc>
      </w:tr>
    </w:tbl>
    <w:p>
      <w:pPr>
        <w:spacing w:after="0" w:before="160"/>
      </w:pPr>
      <w:r>
        <w:t xml:space="preserve"/>
      </w:r>
    </w:p>
    <w:p>
      <w:pPr>
        <w:pStyle w:val="Heading1"/>
        <w:shd w:fill="1F3864" w:val="clear"/>
        <w:spacing w:after="120" w:before="360"/>
        <w:ind w:left="240" w:right="240"/>
      </w:pPr>
      <w:r>
        <w:rPr>
          <w:rFonts w:ascii="Arial" w:cs="Arial" w:eastAsia="Arial" w:hAnsi="Arial"/>
          <w:b/>
          <w:bCs/>
          <w:color w:val="FFFFFF"/>
          <w:sz w:val="36"/>
          <w:szCs w:val="36"/>
        </w:rPr>
        <w:t xml:space="preserve">1. Introduction</w:t>
      </w:r>
    </w:p>
    <w:p>
      <w:pPr>
        <w:spacing w:after="0" w:before="80"/>
      </w:pPr>
      <w:r>
        <w:t xml:space="preserve"/>
      </w:r>
    </w:p>
    <w:p>
      <w:pPr>
        <w:spacing w:after="80" w:before="80"/>
        <w:jc w:val="both"/>
      </w:pPr>
      <w:r>
        <w:rPr>
          <w:rFonts w:ascii="Arial" w:cs="Arial" w:eastAsia="Arial" w:hAnsi="Arial"/>
          <w:color w:val="1F2937"/>
          <w:sz w:val="22"/>
          <w:szCs w:val="22"/>
        </w:rPr>
        <w:t xml:space="preserve">New York City is one of the most densely populated and heavily trafficked cities in the world. In 2020, that traffic did not just tell a story of commuters and congestion. It told the story of a pandemic. This document presents a full technical analysis of 74,881 motor vehicle collisions recorded in New York City between January and August 2020, a period that uniquely captured both the city at full speed and the city brought almost entirely to a standstill.</w:t>
      </w:r>
    </w:p>
    <w:p>
      <w:pPr>
        <w:spacing w:after="0" w:before="60"/>
      </w:pPr>
      <w:r>
        <w:t xml:space="preserve"/>
      </w:r>
    </w:p>
    <w:p>
      <w:pPr>
        <w:spacing w:after="80" w:before="80"/>
        <w:jc w:val="both"/>
      </w:pPr>
      <w:r>
        <w:rPr>
          <w:rFonts w:ascii="Arial" w:cs="Arial" w:eastAsia="Arial" w:hAnsi="Arial"/>
          <w:color w:val="1F2937"/>
          <w:sz w:val="22"/>
          <w:szCs w:val="22"/>
        </w:rPr>
        <w:t xml:space="preserve">The project was developed entirely in Microsoft Power BI and resulted in a five-page interactive dashboard examining crash volume, temporal patterns, geographic concentration, contributing factors, and the impact on vulnerable road users. A central thread throughout the analysis is the COVID-19 pandemic and the effect of the statewide lockdown on 22 March 2020, which created a natural experiment in road safety that no planned study could have replicated.</w:t>
      </w:r>
    </w:p>
    <w:p>
      <w:pPr>
        <w:spacing w:after="0" w:before="60"/>
      </w:pPr>
      <w:r>
        <w:t xml:space="preserve"/>
      </w:r>
    </w:p>
    <w:p>
      <w:pPr>
        <w:spacing w:after="80" w:before="80"/>
        <w:jc w:val="both"/>
      </w:pPr>
      <w:r>
        <w:rPr>
          <w:rFonts w:ascii="Arial" w:cs="Arial" w:eastAsia="Arial" w:hAnsi="Arial"/>
          <w:color w:val="1F2937"/>
          <w:sz w:val="22"/>
          <w:szCs w:val="22"/>
        </w:rPr>
        <w:t xml:space="preserve">The project objectives were as follows:</w:t>
      </w:r>
    </w:p>
    <w:p>
      <w:pPr>
        <w:pStyle w:val="ListParagraph"/>
        <w:numPr>
          <w:ilvl w:val="0"/>
          <w:numId w:val="2"/>
        </w:numPr>
        <w:spacing w:after="40" w:before="40"/>
        <w:ind w:left="720" w:hanging="360"/>
      </w:pPr>
      <w:r>
        <w:rPr>
          <w:rFonts w:ascii="Arial" w:cs="Arial" w:eastAsia="Arial" w:hAnsi="Arial"/>
          <w:color w:val="1F2937"/>
          <w:sz w:val="22"/>
          <w:szCs w:val="22"/>
        </w:rPr>
        <w:t xml:space="preserve">Identify when crashes occur most frequently by hour of day, day of the week, and month.</w:t>
      </w:r>
    </w:p>
    <w:p>
      <w:pPr>
        <w:pStyle w:val="ListParagraph"/>
        <w:numPr>
          <w:ilvl w:val="0"/>
          <w:numId w:val="2"/>
        </w:numPr>
        <w:spacing w:after="40" w:before="40"/>
        <w:ind w:left="720" w:hanging="360"/>
      </w:pPr>
      <w:r>
        <w:rPr>
          <w:rFonts w:ascii="Arial" w:cs="Arial" w:eastAsia="Arial" w:hAnsi="Arial"/>
          <w:color w:val="1F2937"/>
          <w:sz w:val="22"/>
          <w:szCs w:val="22"/>
        </w:rPr>
        <w:t xml:space="preserve">Analyse crash severity and volume across all five New York City boroughs.</w:t>
      </w:r>
    </w:p>
    <w:p>
      <w:pPr>
        <w:pStyle w:val="ListParagraph"/>
        <w:numPr>
          <w:ilvl w:val="0"/>
          <w:numId w:val="2"/>
        </w:numPr>
        <w:spacing w:after="40" w:before="40"/>
        <w:ind w:left="720" w:hanging="360"/>
      </w:pPr>
      <w:r>
        <w:rPr>
          <w:rFonts w:ascii="Arial" w:cs="Arial" w:eastAsia="Arial" w:hAnsi="Arial"/>
          <w:color w:val="1F2937"/>
          <w:sz w:val="22"/>
          <w:szCs w:val="22"/>
        </w:rPr>
        <w:t xml:space="preserve">Identify the leading causes of collisions and the separate causes of fatalities.</w:t>
      </w:r>
    </w:p>
    <w:p>
      <w:pPr>
        <w:pStyle w:val="ListParagraph"/>
        <w:numPr>
          <w:ilvl w:val="0"/>
          <w:numId w:val="2"/>
        </w:numPr>
        <w:spacing w:after="40" w:before="40"/>
        <w:ind w:left="720" w:hanging="360"/>
      </w:pPr>
      <w:r>
        <w:rPr>
          <w:rFonts w:ascii="Arial" w:cs="Arial" w:eastAsia="Arial" w:hAnsi="Arial"/>
          <w:color w:val="1F2937"/>
          <w:sz w:val="22"/>
          <w:szCs w:val="22"/>
        </w:rPr>
        <w:t xml:space="preserve">Quantify the impact of the COVID-19 lockdown on road safety across all dimensions.</w:t>
      </w:r>
    </w:p>
    <w:p>
      <w:pPr>
        <w:pStyle w:val="ListParagraph"/>
        <w:numPr>
          <w:ilvl w:val="0"/>
          <w:numId w:val="2"/>
        </w:numPr>
        <w:spacing w:after="40" w:before="40"/>
        <w:ind w:left="720" w:hanging="360"/>
      </w:pPr>
      <w:r>
        <w:rPr>
          <w:rFonts w:ascii="Arial" w:cs="Arial" w:eastAsia="Arial" w:hAnsi="Arial"/>
          <w:color w:val="1F2937"/>
          <w:sz w:val="22"/>
          <w:szCs w:val="22"/>
        </w:rPr>
        <w:t xml:space="preserve">Assess the disproportionate risk exposure for vulnerable road users including pedestrians and cyclists.</w:t>
      </w:r>
    </w:p>
    <w:p>
      <w:pPr>
        <w:spacing w:after="0" w:before="80"/>
      </w:pPr>
      <w:r>
        <w:t xml:space="preserve"/>
      </w:r>
    </w:p>
    <w:p>
      <w:pPr>
        <w:shd w:fill="E8F4FD" w:val="clear"/>
        <w:spacing w:after="120" w:before="120"/>
        <w:ind w:left="360" w:right="360"/>
      </w:pPr>
      <w:r>
        <w:rPr>
          <w:rFonts w:ascii="Arial" w:cs="Arial" w:eastAsia="Arial" w:hAnsi="Arial"/>
          <w:b/>
          <w:bCs/>
          <w:color w:val="2E75B6"/>
          <w:sz w:val="22"/>
          <w:szCs w:val="22"/>
        </w:rPr>
        <w:t xml:space="preserve">Why This Matters: </w:t>
      </w:r>
      <w:r>
        <w:rPr>
          <w:rFonts w:ascii="Arial" w:cs="Arial" w:eastAsia="Arial" w:hAnsi="Arial"/>
          <w:color w:val="1F2937"/>
          <w:sz w:val="22"/>
          <w:szCs w:val="22"/>
        </w:rPr>
        <w:t xml:space="preserve">Road safety data is only useful if it can be translated into targeted interventions. This analysis identifies not just where and when crashes occur but why the patterns differ across boroughs, time periods, and user groups, producing findings that are directly actionable for city planners, transport authorities, and road safety policymakers.</w:t>
      </w:r>
    </w:p>
    <w:p>
      <w:pPr>
        <w:pBdr>
          <w:bottom w:val="single" w:color="CCCCCC" w:sz="2" w:space="1"/>
        </w:pBdr>
        <w:spacing w:after="160" w:before="160"/>
      </w:pPr>
      <w:r>
        <w:t xml:space="preserve"/>
      </w:r>
    </w:p>
    <w:p>
      <w:pPr>
        <w:pStyle w:val="Heading1"/>
        <w:shd w:fill="1F3864" w:val="clear"/>
        <w:spacing w:after="120" w:before="360"/>
        <w:ind w:left="240" w:right="240"/>
      </w:pPr>
      <w:r>
        <w:rPr>
          <w:rFonts w:ascii="Arial" w:cs="Arial" w:eastAsia="Arial" w:hAnsi="Arial"/>
          <w:b/>
          <w:bCs/>
          <w:color w:val="FFFFFF"/>
          <w:sz w:val="36"/>
          <w:szCs w:val="36"/>
        </w:rPr>
        <w:t xml:space="preserve">2. Data Description</w:t>
      </w:r>
    </w:p>
    <w:p>
      <w:pPr>
        <w:spacing w:after="0" w:before="80"/>
      </w:pPr>
      <w:r>
        <w:t xml:space="preserve"/>
      </w:r>
    </w:p>
    <w:p>
      <w:pPr>
        <w:pBdr>
          <w:bottom w:val="single" w:color="2E75B6" w:sz="4" w:space="2"/>
        </w:pBdr>
        <w:spacing w:after="100" w:before="280"/>
      </w:pPr>
      <w:r>
        <w:rPr>
          <w:rFonts w:ascii="Arial" w:cs="Arial" w:eastAsia="Arial" w:hAnsi="Arial"/>
          <w:b/>
          <w:bCs/>
          <w:color w:val="1F3864"/>
          <w:sz w:val="28"/>
          <w:szCs w:val="28"/>
        </w:rPr>
        <w:t xml:space="preserve">2.1 Data Source and Format</w:t>
      </w:r>
    </w:p>
    <w:p>
      <w:pPr>
        <w:spacing w:after="80" w:before="80"/>
        <w:jc w:val="both"/>
      </w:pPr>
      <w:r>
        <w:rPr>
          <w:rFonts w:ascii="Arial" w:cs="Arial" w:eastAsia="Arial" w:hAnsi="Arial"/>
          <w:color w:val="1F2937"/>
          <w:sz w:val="22"/>
          <w:szCs w:val="22"/>
        </w:rPr>
        <w:t xml:space="preserve">The dataset was sourced from </w:t>
      </w:r>
      <w:r>
        <w:rPr>
          <w:rFonts w:ascii="Arial" w:cs="Arial" w:eastAsia="Arial" w:hAnsi="Arial"/>
          <w:b/>
          <w:bCs/>
          <w:color w:val="1F2937"/>
          <w:sz w:val="22"/>
          <w:szCs w:val="22"/>
        </w:rPr>
        <w:t xml:space="preserve">NYC OpenData</w:t>
      </w:r>
      <w:r>
        <w:rPr>
          <w:rFonts w:ascii="Arial" w:cs="Arial" w:eastAsia="Arial" w:hAnsi="Arial"/>
          <w:color w:val="1F2937"/>
          <w:sz w:val="22"/>
          <w:szCs w:val="22"/>
        </w:rPr>
        <w:t xml:space="preserve">, the open data platform hosted by the New York City Government. The specific table used is the Motor Vehicle Collisions - Crashes dataset provided by the New York City Police Department (NYPD), which records any collision resulting in injury, death, or property damage exceeding $1,000. The file was downloaded as </w:t>
      </w:r>
      <w:r>
        <w:rPr>
          <w:rFonts w:ascii="Arial" w:cs="Arial" w:eastAsia="Arial" w:hAnsi="Arial"/>
          <w:b/>
          <w:bCs/>
          <w:color w:val="1F2937"/>
          <w:sz w:val="22"/>
          <w:szCs w:val="22"/>
        </w:rPr>
        <w:t xml:space="preserve">NYCAccidents2020.csv</w:t>
      </w:r>
      <w:r>
        <w:rPr>
          <w:rFonts w:ascii="Arial" w:cs="Arial" w:eastAsia="Arial" w:hAnsi="Arial"/>
          <w:color w:val="1F2937"/>
          <w:sz w:val="22"/>
          <w:szCs w:val="22"/>
        </w:rPr>
        <w:t xml:space="preserve"> and imported into Power BI for transformation and analysis.</w:t>
      </w:r>
    </w:p>
    <w:p>
      <w:pPr>
        <w:spacing w:after="0" w:before="8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800"/>
        <w:gridCol w:w="6920"/>
      </w:tblGrid>
      <w:tr>
        <w:trPr>
          <w:tblHeader/>
        </w:trPr>
        <w:tc>
          <w:tcPr>
            <w:tcW w:type="dxa" w:w="2800"/>
            <w:tcBorders>
              <w:top w:val="single" w:color="CCCCCC" w:sz="1"/>
              <w:start w:val="single" w:color="CCCCCC" w:sz="1"/>
              <w:bottom w:val="single" w:color="CCCCCC" w:sz="1"/>
              <w:end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920"/>
            <w:tcBorders>
              <w:top w:val="single" w:color="CCCCCC" w:sz="1"/>
              <w:start w:val="single" w:color="CCCCCC" w:sz="1"/>
              <w:bottom w:val="single" w:color="CCCCCC" w:sz="1"/>
              <w:end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rPr>
          <w:tblHeader w:val="false"/>
        </w:trP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File name</w:t>
            </w:r>
          </w:p>
        </w:tc>
        <w:tc>
          <w:tcPr>
            <w:tcW w:type="dxa" w:w="692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NYCAccidents2020.csv</w:t>
            </w:r>
          </w:p>
        </w:tc>
      </w:tr>
      <w:tr>
        <w:trPr>
          <w:tblHeader w:val="false"/>
        </w:trPr>
        <w:tc>
          <w:tcPr>
            <w:tcW w:type="dxa" w:w="280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Records</w:t>
            </w:r>
          </w:p>
        </w:tc>
        <w:tc>
          <w:tcPr>
            <w:tcW w:type="dxa" w:w="692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74,881 collision records</w:t>
            </w:r>
          </w:p>
        </w:tc>
      </w:tr>
      <w:tr>
        <w:trPr>
          <w:tblHeader w:val="false"/>
        </w:trP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Fields</w:t>
            </w:r>
          </w:p>
        </w:tc>
        <w:tc>
          <w:tcPr>
            <w:tcW w:type="dxa" w:w="692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29 columns per record</w:t>
            </w:r>
          </w:p>
        </w:tc>
      </w:tr>
      <w:tr>
        <w:trPr>
          <w:tblHeader w:val="false"/>
        </w:trPr>
        <w:tc>
          <w:tcPr>
            <w:tcW w:type="dxa" w:w="280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Time frame</w:t>
            </w:r>
          </w:p>
        </w:tc>
        <w:tc>
          <w:tcPr>
            <w:tcW w:type="dxa" w:w="692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 January 2020 to 29 August 2020</w:t>
            </w:r>
          </w:p>
        </w:tc>
      </w:tr>
      <w:tr>
        <w:trPr>
          <w:tblHeader w:val="false"/>
        </w:trP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Source</w:t>
            </w:r>
          </w:p>
        </w:tc>
        <w:tc>
          <w:tcPr>
            <w:tcW w:type="dxa" w:w="692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NYC OpenData / New York City Police Department (NYPD)</w:t>
            </w:r>
          </w:p>
        </w:tc>
      </w:tr>
      <w:tr>
        <w:trPr>
          <w:tblHeader w:val="false"/>
        </w:trPr>
        <w:tc>
          <w:tcPr>
            <w:tcW w:type="dxa" w:w="280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Geography</w:t>
            </w:r>
          </w:p>
        </w:tc>
        <w:tc>
          <w:tcPr>
            <w:tcW w:type="dxa" w:w="692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All five NYC boroughs: Brooklyn, Queens, Bronx, Manhattan, Staten Island</w:t>
            </w:r>
          </w:p>
        </w:tc>
      </w:tr>
      <w:tr>
        <w:trPr>
          <w:tblHeader w:val="false"/>
        </w:trP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Tool used</w:t>
            </w:r>
          </w:p>
        </w:tc>
        <w:tc>
          <w:tcPr>
            <w:tcW w:type="dxa" w:w="692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Microsoft Power BI Desktop</w:t>
            </w:r>
          </w:p>
        </w:tc>
      </w:tr>
    </w:tbl>
    <w:p>
      <w:pPr>
        <w:spacing w:after="0" w:before="120"/>
      </w:pPr>
      <w:r>
        <w:t xml:space="preserve"/>
      </w:r>
    </w:p>
    <w:p>
      <w:pPr>
        <w:pBdr>
          <w:bottom w:val="single" w:color="2E75B6" w:sz="4" w:space="2"/>
        </w:pBdr>
        <w:spacing w:after="100" w:before="280"/>
      </w:pPr>
      <w:r>
        <w:rPr>
          <w:rFonts w:ascii="Arial" w:cs="Arial" w:eastAsia="Arial" w:hAnsi="Arial"/>
          <w:b/>
          <w:bCs/>
          <w:color w:val="1F3864"/>
          <w:sz w:val="28"/>
          <w:szCs w:val="28"/>
        </w:rPr>
        <w:t xml:space="preserve">2.2 Data Quality Issues Identified</w:t>
      </w:r>
    </w:p>
    <w:p>
      <w:pPr>
        <w:spacing w:after="80" w:before="80"/>
        <w:jc w:val="both"/>
      </w:pPr>
      <w:r>
        <w:rPr>
          <w:rFonts w:ascii="Arial" w:cs="Arial" w:eastAsia="Arial" w:hAnsi="Arial"/>
          <w:color w:val="1F2937"/>
          <w:sz w:val="22"/>
          <w:szCs w:val="22"/>
        </w:rPr>
        <w:t xml:space="preserve">Although the raw dataset was largely complete with no null values in core fields, four structural issues required resolution before analysis could begin:</w:t>
      </w:r>
    </w:p>
    <w:p>
      <w:pPr>
        <w:spacing w:after="0" w:before="60"/>
      </w:pPr>
      <w:r>
        <w:t xml:space="preserve"/>
      </w:r>
    </w:p>
    <w:p>
      <w:pPr>
        <w:pStyle w:val="ListParagraph"/>
        <w:numPr>
          <w:ilvl w:val="0"/>
          <w:numId w:val="3"/>
        </w:numPr>
        <w:spacing w:after="40" w:before="40"/>
        <w:ind w:left="720" w:hanging="360"/>
      </w:pPr>
      <w:r>
        <w:rPr>
          <w:rFonts w:ascii="Arial" w:cs="Arial" w:eastAsia="Arial" w:hAnsi="Arial"/>
          <w:color w:val="1F2937"/>
          <w:sz w:val="22"/>
          <w:szCs w:val="22"/>
        </w:rPr>
        <w:t xml:space="preserve">Borough missing for 25,741 rows (34.4% of records): These crashes were fully recorded with geographic coordinates but could not be assigned to a borough due to insufficient GPS precision. They were labelled as 'Unassigned' for borough-level analysis and retained in all city-wide totals. Their exclusion from borough comparisons is noted throughout.</w:t>
      </w:r>
    </w:p>
    <w:p>
      <w:pPr>
        <w:pStyle w:val="ListParagraph"/>
        <w:numPr>
          <w:ilvl w:val="0"/>
          <w:numId w:val="3"/>
        </w:numPr>
        <w:spacing w:after="40" w:before="40"/>
        <w:ind w:left="720" w:hanging="360"/>
      </w:pPr>
      <w:r>
        <w:rPr>
          <w:rFonts w:ascii="Arial" w:cs="Arial" w:eastAsia="Arial" w:hAnsi="Arial"/>
          <w:color w:val="1F2937"/>
          <w:sz w:val="22"/>
          <w:szCs w:val="22"/>
        </w:rPr>
        <w:t xml:space="preserve">Vehicle type code inconsistency: Over 100 variations of vehicle descriptions existed for what were effectively the same categories (for example: Sedan, 2dr sedan, 4dr sedan). These were manually consolidated into seven clean categories: Sedan, SUV, Taxi, Pick-up Truck, Bus, Bike or E-Bike, and Other.</w:t>
      </w:r>
    </w:p>
    <w:p>
      <w:pPr>
        <w:pStyle w:val="ListParagraph"/>
        <w:numPr>
          <w:ilvl w:val="0"/>
          <w:numId w:val="3"/>
        </w:numPr>
        <w:spacing w:after="40" w:before="40"/>
        <w:ind w:left="720" w:hanging="360"/>
      </w:pPr>
      <w:r>
        <w:rPr>
          <w:rFonts w:ascii="Arial" w:cs="Arial" w:eastAsia="Arial" w:hAnsi="Arial"/>
          <w:color w:val="1F2937"/>
          <w:sz w:val="22"/>
          <w:szCs w:val="22"/>
        </w:rPr>
        <w:t xml:space="preserve">Unspecified contributing factor: 19,471 records (26% of the dataset) listed 'Unspecified' as the contributing cause. Including these would distort cause-of-crash analysis, so they were excluded from Section 4.5 only. They remain in all other calculations.</w:t>
      </w:r>
    </w:p>
    <w:p>
      <w:pPr>
        <w:pStyle w:val="ListParagraph"/>
        <w:numPr>
          <w:ilvl w:val="0"/>
          <w:numId w:val="3"/>
        </w:numPr>
        <w:spacing w:after="40" w:before="40"/>
        <w:ind w:left="720" w:hanging="360"/>
      </w:pPr>
      <w:r>
        <w:rPr>
          <w:rFonts w:ascii="Arial" w:cs="Arial" w:eastAsia="Arial" w:hAnsi="Arial"/>
          <w:color w:val="1F2937"/>
          <w:sz w:val="22"/>
          <w:szCs w:val="22"/>
        </w:rPr>
        <w:t xml:space="preserve">Location column format incompatibility: The Location column stored coordinates as a text string (for example, POINT -73.83376 40.8921) which is not compatible with Power BI mapping. This column was removed and the separate Latitude and Longitude numeric columns were used instead.</w:t>
      </w:r>
    </w:p>
    <w:p>
      <w:pPr>
        <w:spacing w:after="0" w:before="80"/>
      </w:pPr>
      <w:r>
        <w:t xml:space="preserve"/>
      </w:r>
    </w:p>
    <w:p>
      <w:pPr>
        <w:pBdr>
          <w:bottom w:val="single" w:color="2E75B6" w:sz="4" w:space="2"/>
        </w:pBdr>
        <w:spacing w:after="100" w:before="280"/>
      </w:pPr>
      <w:r>
        <w:rPr>
          <w:rFonts w:ascii="Arial" w:cs="Arial" w:eastAsia="Arial" w:hAnsi="Arial"/>
          <w:b/>
          <w:bCs/>
          <w:color w:val="1F3864"/>
          <w:sz w:val="28"/>
          <w:szCs w:val="28"/>
        </w:rPr>
        <w:t xml:space="preserve">2.3 Data Transformation Steps</w:t>
      </w:r>
    </w:p>
    <w:p>
      <w:pPr>
        <w:spacing w:after="80" w:before="80"/>
        <w:jc w:val="both"/>
      </w:pPr>
      <w:r>
        <w:rPr>
          <w:rFonts w:ascii="Arial" w:cs="Arial" w:eastAsia="Arial" w:hAnsi="Arial"/>
          <w:color w:val="1F2937"/>
          <w:sz w:val="22"/>
          <w:szCs w:val="22"/>
        </w:rPr>
        <w:t xml:space="preserve">The following computed columns and tables were created in Power BI using DAX (Data Analysis Expressions):</w:t>
      </w:r>
    </w:p>
    <w:p>
      <w:pPr>
        <w:spacing w:after="0" w:before="60"/>
      </w:pPr>
      <w:r>
        <w:t xml:space="preserve"/>
      </w:r>
    </w:p>
    <w:p>
      <w:pPr>
        <w:pStyle w:val="ListParagraph"/>
        <w:numPr>
          <w:ilvl w:val="0"/>
          <w:numId w:val="2"/>
        </w:numPr>
        <w:spacing w:after="40" w:before="40"/>
        <w:ind w:left="720" w:hanging="360"/>
      </w:pPr>
      <w:r>
        <w:rPr>
          <w:rFonts w:ascii="Arial" w:cs="Arial" w:eastAsia="Arial" w:hAnsi="Arial"/>
          <w:color w:val="1F2937"/>
          <w:sz w:val="22"/>
          <w:szCs w:val="22"/>
        </w:rPr>
        <w:t xml:space="preserve">Hour of Day (0 to 23): extracted from the crash time field for hourly pattern analysis.</w:t>
      </w:r>
    </w:p>
    <w:p>
      <w:pPr>
        <w:pStyle w:val="ListParagraph"/>
        <w:numPr>
          <w:ilvl w:val="0"/>
          <w:numId w:val="2"/>
        </w:numPr>
        <w:spacing w:after="40" w:before="40"/>
        <w:ind w:left="720" w:hanging="360"/>
      </w:pPr>
      <w:r>
        <w:rPr>
          <w:rFonts w:ascii="Arial" w:cs="Arial" w:eastAsia="Arial" w:hAnsi="Arial"/>
          <w:color w:val="1F2937"/>
          <w:sz w:val="22"/>
          <w:szCs w:val="22"/>
        </w:rPr>
        <w:t xml:space="preserve">Month Number and Month Name: extracted from crash date for monthly trend visualisation.</w:t>
      </w:r>
    </w:p>
    <w:p>
      <w:pPr>
        <w:pStyle w:val="ListParagraph"/>
        <w:numPr>
          <w:ilvl w:val="0"/>
          <w:numId w:val="2"/>
        </w:numPr>
        <w:spacing w:after="40" w:before="40"/>
        <w:ind w:left="720" w:hanging="360"/>
      </w:pPr>
      <w:r>
        <w:rPr>
          <w:rFonts w:ascii="Arial" w:cs="Arial" w:eastAsia="Arial" w:hAnsi="Arial"/>
          <w:color w:val="1F2937"/>
          <w:sz w:val="22"/>
          <w:szCs w:val="22"/>
        </w:rPr>
        <w:t xml:space="preserve">Day of Week and Day Number: day name and numeric sort order for weekly pattern analysis.</w:t>
      </w:r>
    </w:p>
    <w:p>
      <w:pPr>
        <w:pStyle w:val="ListParagraph"/>
        <w:numPr>
          <w:ilvl w:val="0"/>
          <w:numId w:val="2"/>
        </w:numPr>
        <w:spacing w:after="40" w:before="40"/>
        <w:ind w:left="720" w:hanging="360"/>
      </w:pPr>
      <w:r>
        <w:rPr>
          <w:rFonts w:ascii="Arial" w:cs="Arial" w:eastAsia="Arial" w:hAnsi="Arial"/>
          <w:color w:val="1F2937"/>
          <w:sz w:val="22"/>
          <w:szCs w:val="22"/>
        </w:rPr>
        <w:t xml:space="preserve">Period classification: each record was tagged as Pre-Lockdown (before 22 March 2020), Lockdown (22 March to 7 June 2020), or Re-opening (8 June 2020 onwards) to enable direct period comparison.</w:t>
      </w:r>
    </w:p>
    <w:p>
      <w:pPr>
        <w:pStyle w:val="ListParagraph"/>
        <w:numPr>
          <w:ilvl w:val="0"/>
          <w:numId w:val="2"/>
        </w:numPr>
        <w:spacing w:after="40" w:before="40"/>
        <w:ind w:left="720" w:hanging="360"/>
      </w:pPr>
      <w:r>
        <w:rPr>
          <w:rFonts w:ascii="Arial" w:cs="Arial" w:eastAsia="Arial" w:hAnsi="Arial"/>
          <w:color w:val="1F2937"/>
          <w:sz w:val="22"/>
          <w:szCs w:val="22"/>
        </w:rPr>
        <w:t xml:space="preserve">Map Table: a summarised table was created by grouping records on latitude, longitude, and borough with a count of crashes, condensing 74,881 rows into a renderable number of map points for ArcGIS visualisation.</w:t>
      </w:r>
    </w:p>
    <w:p>
      <w:pPr>
        <w:pStyle w:val="ListParagraph"/>
        <w:numPr>
          <w:ilvl w:val="0"/>
          <w:numId w:val="2"/>
        </w:numPr>
        <w:spacing w:after="40" w:before="40"/>
        <w:ind w:left="720" w:hanging="360"/>
      </w:pPr>
      <w:r>
        <w:rPr>
          <w:rFonts w:ascii="Arial" w:cs="Arial" w:eastAsia="Arial" w:hAnsi="Arial"/>
          <w:color w:val="1F2937"/>
          <w:sz w:val="22"/>
          <w:szCs w:val="22"/>
        </w:rPr>
        <w:t xml:space="preserve">Date Table: a full date table was created spanning the analysis period and designated as a Power BI date table, linked to Crash Date to enable time intelligence functions.</w:t>
      </w:r>
    </w:p>
    <w:p>
      <w:pPr>
        <w:pStyle w:val="ListParagraph"/>
        <w:numPr>
          <w:ilvl w:val="0"/>
          <w:numId w:val="2"/>
        </w:numPr>
        <w:spacing w:after="40" w:before="40"/>
        <w:ind w:left="720" w:hanging="360"/>
      </w:pPr>
      <w:r>
        <w:rPr>
          <w:rFonts w:ascii="Arial" w:cs="Arial" w:eastAsia="Arial" w:hAnsi="Arial"/>
          <w:color w:val="1F2937"/>
          <w:sz w:val="22"/>
          <w:szCs w:val="22"/>
        </w:rPr>
        <w:t xml:space="preserve">Erroneous coordinates: latitude and longitude values falling outside New York City boundaries were filtered out to prevent inaccurate map rendering.</w:t>
      </w:r>
    </w:p>
    <w:p>
      <w:pPr>
        <w:spacing w:after="0" w:before="80"/>
      </w:pPr>
      <w:r>
        <w:t xml:space="preserve"/>
      </w:r>
    </w:p>
    <w:p>
      <w:pPr>
        <w:shd w:fill="E8F4FD" w:val="clear"/>
        <w:spacing w:after="120" w:before="120"/>
        <w:ind w:left="360" w:right="360"/>
      </w:pPr>
      <w:r>
        <w:rPr>
          <w:rFonts w:ascii="Arial" w:cs="Arial" w:eastAsia="Arial" w:hAnsi="Arial"/>
          <w:b/>
          <w:bCs/>
          <w:color w:val="2E75B6"/>
          <w:sz w:val="22"/>
          <w:szCs w:val="22"/>
        </w:rPr>
        <w:t xml:space="preserve">Data Quality Note: </w:t>
      </w:r>
      <w:r>
        <w:rPr>
          <w:rFonts w:ascii="Arial" w:cs="Arial" w:eastAsia="Arial" w:hAnsi="Arial"/>
          <w:color w:val="1F2937"/>
          <w:sz w:val="22"/>
          <w:szCs w:val="22"/>
        </w:rPr>
        <w:t xml:space="preserve">All 74,881 records were retained in city-wide totals. Exclusions only apply at the analysis level: Unassigned borough records are excluded from borough comparisons, and Unspecified cause records are excluded from contributing factor analysis only.</w:t>
      </w:r>
    </w:p>
    <w:p>
      <w:pPr>
        <w:pBdr>
          <w:bottom w:val="single" w:color="CCCCCC" w:sz="2" w:space="1"/>
        </w:pBdr>
        <w:spacing w:after="160" w:before="160"/>
      </w:pPr>
      <w:r>
        <w:t xml:space="preserve"/>
      </w:r>
    </w:p>
    <w:p>
      <w:pPr>
        <w:pStyle w:val="Heading1"/>
        <w:shd w:fill="1F3864" w:val="clear"/>
        <w:spacing w:after="120" w:before="360"/>
        <w:ind w:left="240" w:right="240"/>
      </w:pPr>
      <w:r>
        <w:rPr>
          <w:rFonts w:ascii="Arial" w:cs="Arial" w:eastAsia="Arial" w:hAnsi="Arial"/>
          <w:b/>
          <w:bCs/>
          <w:color w:val="FFFFFF"/>
          <w:sz w:val="36"/>
          <w:szCs w:val="36"/>
        </w:rPr>
        <w:t xml:space="preserve">3. Analytical Methods</w:t>
      </w:r>
    </w:p>
    <w:p>
      <w:pPr>
        <w:spacing w:after="0" w:before="80"/>
      </w:pPr>
      <w:r>
        <w:t xml:space="preserve"/>
      </w:r>
    </w:p>
    <w:p>
      <w:pPr>
        <w:pBdr>
          <w:bottom w:val="single" w:color="2E75B6" w:sz="4" w:space="2"/>
        </w:pBdr>
        <w:spacing w:after="100" w:before="280"/>
      </w:pPr>
      <w:r>
        <w:rPr>
          <w:rFonts w:ascii="Arial" w:cs="Arial" w:eastAsia="Arial" w:hAnsi="Arial"/>
          <w:b/>
          <w:bCs/>
          <w:color w:val="1F3864"/>
          <w:sz w:val="28"/>
          <w:szCs w:val="28"/>
        </w:rPr>
        <w:t xml:space="preserve">3.1 Tool Selection</w:t>
      </w:r>
    </w:p>
    <w:p>
      <w:pPr>
        <w:spacing w:after="80" w:before="80"/>
        <w:jc w:val="both"/>
      </w:pPr>
      <w:r>
        <w:rPr>
          <w:rFonts w:ascii="Arial" w:cs="Arial" w:eastAsia="Arial" w:hAnsi="Arial"/>
          <w:b/>
          <w:bCs/>
          <w:color w:val="1F2937"/>
          <w:sz w:val="22"/>
          <w:szCs w:val="22"/>
        </w:rPr>
        <w:t xml:space="preserve">Microsoft Power BI Desktop</w:t>
      </w:r>
      <w:r>
        <w:rPr>
          <w:rFonts w:ascii="Arial" w:cs="Arial" w:eastAsia="Arial" w:hAnsi="Arial"/>
          <w:color w:val="1F2937"/>
          <w:sz w:val="22"/>
          <w:szCs w:val="22"/>
        </w:rPr>
        <w:t xml:space="preserve"> was selected as the primary analytical and visualisation tool for this project. Power BI was chosen over alternatives such as Excel or Tableau for three specific reasons: it handles datasets of 74,881 records efficiently without performance degradation; it supports ArcGIS geographic mapping natively for coordinate-based plotting; and it produces a fully interactive, multi-page dashboard that can be embedded in a portfolio and shared without requiring the recipient to have any software installed.</w:t>
      </w:r>
    </w:p>
    <w:p>
      <w:pPr>
        <w:spacing w:after="0" w:before="8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3200"/>
        <w:gridCol w:w="6520"/>
      </w:tblGrid>
      <w:tr>
        <w:trPr>
          <w:tblHeader/>
        </w:trPr>
        <w:tc>
          <w:tcPr>
            <w:tcW w:type="dxa" w:w="3200"/>
            <w:tcBorders>
              <w:top w:val="single" w:color="CCCCCC" w:sz="1"/>
              <w:start w:val="single" w:color="CCCCCC" w:sz="1"/>
              <w:bottom w:val="single" w:color="CCCCCC" w:sz="1"/>
              <w:end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Technique or Feature</w:t>
            </w:r>
          </w:p>
        </w:tc>
        <w:tc>
          <w:tcPr>
            <w:tcW w:type="dxa" w:w="6520"/>
            <w:tcBorders>
              <w:top w:val="single" w:color="CCCCCC" w:sz="1"/>
              <w:start w:val="single" w:color="CCCCCC" w:sz="1"/>
              <w:bottom w:val="single" w:color="CCCCCC" w:sz="1"/>
              <w:end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 in This Analysis</w:t>
            </w:r>
          </w:p>
        </w:tc>
      </w:tr>
      <w:tr>
        <w:trPr>
          <w:tblHeader w:val="false"/>
        </w:trPr>
        <w:tc>
          <w:tcPr>
            <w:tcW w:type="dxa" w:w="320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DAX Measures</w:t>
            </w:r>
          </w:p>
        </w:tc>
        <w:tc>
          <w:tcPr>
            <w:tcW w:type="dxa" w:w="652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All KPIs and aggregations calculated as DAX measures rather than computed columns to ensure chart interactivity with slicers</w:t>
            </w:r>
          </w:p>
        </w:tc>
      </w:tr>
      <w:tr>
        <w:trPr>
          <w:tblHeader w:val="false"/>
        </w:trPr>
        <w:tc>
          <w:tcPr>
            <w:tcW w:type="dxa" w:w="320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Conditional Formatting Heatmap</w:t>
            </w:r>
          </w:p>
        </w:tc>
        <w:tc>
          <w:tcPr>
            <w:tcW w:type="dxa" w:w="652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Day-of-week by hour matrix visualisation with dark red indicating highest collision frequency and white indicating lowest</w:t>
            </w:r>
          </w:p>
        </w:tc>
      </w:tr>
      <w:tr>
        <w:trPr>
          <w:tblHeader w:val="false"/>
        </w:trPr>
        <w:tc>
          <w:tcPr>
            <w:tcW w:type="dxa" w:w="320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ArcGIS Maps for Power BI</w:t>
            </w:r>
          </w:p>
        </w:tc>
        <w:tc>
          <w:tcPr>
            <w:tcW w:type="dxa" w:w="652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Density heatmap of crash concentration across the city (Page 1) and individual crash point map per borough (Page 3)</w:t>
            </w:r>
          </w:p>
        </w:tc>
      </w:tr>
      <w:tr>
        <w:trPr>
          <w:tblHeader w:val="false"/>
        </w:trPr>
        <w:tc>
          <w:tcPr>
            <w:tcW w:type="dxa" w:w="320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Period Segmentation</w:t>
            </w:r>
          </w:p>
        </w:tc>
        <w:tc>
          <w:tcPr>
            <w:tcW w:type="dxa" w:w="652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Pre-Lockdown, Lockdown, and Re-opening tags applied to every record to enable direct before-and-after COVID-19 comparison</w:t>
            </w:r>
          </w:p>
        </w:tc>
      </w:tr>
      <w:tr>
        <w:trPr>
          <w:tblHeader w:val="false"/>
        </w:trPr>
        <w:tc>
          <w:tcPr>
            <w:tcW w:type="dxa" w:w="320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Slicers and Cross-filtering</w:t>
            </w:r>
          </w:p>
        </w:tc>
        <w:tc>
          <w:tcPr>
            <w:tcW w:type="dxa" w:w="652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All five dashboard pages include interactive filters for borough, period, vehicle type, and contributing factor</w:t>
            </w:r>
          </w:p>
        </w:tc>
      </w:tr>
      <w:tr>
        <w:trPr>
          <w:tblHeader w:val="false"/>
        </w:trPr>
        <w:tc>
          <w:tcPr>
            <w:tcW w:type="dxa" w:w="320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Descriptive Statistics</w:t>
            </w:r>
          </w:p>
        </w:tc>
        <w:tc>
          <w:tcPr>
            <w:tcW w:type="dxa" w:w="652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Counts, sums, means, and ratios calculated at city, borough, temporal, and user-group level</w:t>
            </w:r>
          </w:p>
        </w:tc>
      </w:tr>
    </w:tbl>
    <w:p>
      <w:pPr>
        <w:spacing w:after="0" w:before="120"/>
      </w:pPr>
      <w:r>
        <w:t xml:space="preserve"/>
      </w:r>
    </w:p>
    <w:p>
      <w:pPr>
        <w:pBdr>
          <w:bottom w:val="single" w:color="2E75B6" w:sz="4" w:space="2"/>
        </w:pBdr>
        <w:spacing w:after="100" w:before="280"/>
      </w:pPr>
      <w:r>
        <w:rPr>
          <w:rFonts w:ascii="Arial" w:cs="Arial" w:eastAsia="Arial" w:hAnsi="Arial"/>
          <w:b/>
          <w:bCs/>
          <w:color w:val="1F3864"/>
          <w:sz w:val="28"/>
          <w:szCs w:val="28"/>
        </w:rPr>
        <w:t xml:space="preserve">3.2 Assumptions</w:t>
      </w:r>
    </w:p>
    <w:p>
      <w:pPr>
        <w:pStyle w:val="ListParagraph"/>
        <w:numPr>
          <w:ilvl w:val="0"/>
          <w:numId w:val="2"/>
        </w:numPr>
        <w:spacing w:after="40" w:before="40"/>
        <w:ind w:left="720" w:hanging="360"/>
      </w:pPr>
      <w:r>
        <w:rPr>
          <w:rFonts w:ascii="Arial" w:cs="Arial" w:eastAsia="Arial" w:hAnsi="Arial"/>
          <w:color w:val="1F2937"/>
          <w:sz w:val="22"/>
          <w:szCs w:val="22"/>
        </w:rPr>
        <w:t xml:space="preserve">Unknown borough records are assumed to represent crashes within New York City limits; insufficient GPS precision prevented borough assignment rather than the crash occurring outside the city.</w:t>
      </w:r>
    </w:p>
    <w:p>
      <w:pPr>
        <w:pStyle w:val="ListParagraph"/>
        <w:numPr>
          <w:ilvl w:val="0"/>
          <w:numId w:val="2"/>
        </w:numPr>
        <w:spacing w:after="40" w:before="40"/>
        <w:ind w:left="720" w:hanging="360"/>
      </w:pPr>
      <w:r>
        <w:rPr>
          <w:rFonts w:ascii="Arial" w:cs="Arial" w:eastAsia="Arial" w:hAnsi="Arial"/>
          <w:color w:val="1F2937"/>
          <w:sz w:val="22"/>
          <w:szCs w:val="22"/>
        </w:rPr>
        <w:t xml:space="preserve">The COVID-19 lockdown start date used is 22 March 2020, when New York State issued the Pause order imposing a statewide lockdown.</w:t>
      </w:r>
    </w:p>
    <w:p>
      <w:pPr>
        <w:pStyle w:val="ListParagraph"/>
        <w:numPr>
          <w:ilvl w:val="0"/>
          <w:numId w:val="2"/>
        </w:numPr>
        <w:spacing w:after="40" w:before="40"/>
        <w:ind w:left="720" w:hanging="360"/>
      </w:pPr>
      <w:r>
        <w:rPr>
          <w:rFonts w:ascii="Arial" w:cs="Arial" w:eastAsia="Arial" w:hAnsi="Arial"/>
          <w:color w:val="1F2937"/>
          <w:sz w:val="22"/>
          <w:szCs w:val="22"/>
        </w:rPr>
        <w:t xml:space="preserve">The Re-opening start date is 8 June 2020, when New York City entered Phase 1 of the phased re-opening plan.</w:t>
      </w:r>
    </w:p>
    <w:p>
      <w:pPr>
        <w:pStyle w:val="ListParagraph"/>
        <w:numPr>
          <w:ilvl w:val="0"/>
          <w:numId w:val="2"/>
        </w:numPr>
        <w:spacing w:after="40" w:before="40"/>
        <w:ind w:left="720" w:hanging="360"/>
      </w:pPr>
      <w:r>
        <w:rPr>
          <w:rFonts w:ascii="Arial" w:cs="Arial" w:eastAsia="Arial" w:hAnsi="Arial"/>
          <w:color w:val="1F2937"/>
          <w:sz w:val="22"/>
          <w:szCs w:val="22"/>
        </w:rPr>
        <w:t xml:space="preserve">No predictive modelling was applied. All analysis is descriptive, based on observed counts, rates, and distributions within the study period.</w:t>
      </w:r>
    </w:p>
    <w:p>
      <w:pPr>
        <w:pStyle w:val="ListParagraph"/>
        <w:numPr>
          <w:ilvl w:val="0"/>
          <w:numId w:val="2"/>
        </w:numPr>
        <w:spacing w:after="40" w:before="40"/>
        <w:ind w:left="720" w:hanging="360"/>
      </w:pPr>
      <w:r>
        <w:rPr>
          <w:rFonts w:ascii="Arial" w:cs="Arial" w:eastAsia="Arial" w:hAnsi="Arial"/>
          <w:color w:val="1F2937"/>
          <w:sz w:val="22"/>
          <w:szCs w:val="22"/>
        </w:rPr>
        <w:t xml:space="preserve">Injury severity is not available in this dataset. All injuries are treated as a single count regardless of severity.</w:t>
      </w:r>
    </w:p>
    <w:p>
      <w:pPr>
        <w:pStyle w:val="ListParagraph"/>
        <w:numPr>
          <w:ilvl w:val="0"/>
          <w:numId w:val="2"/>
        </w:numPr>
        <w:spacing w:after="40" w:before="40"/>
        <w:ind w:left="720" w:hanging="360"/>
      </w:pPr>
      <w:r>
        <w:rPr>
          <w:rFonts w:ascii="Arial" w:cs="Arial" w:eastAsia="Arial" w:hAnsi="Arial"/>
          <w:color w:val="1F2937"/>
          <w:sz w:val="22"/>
          <w:szCs w:val="22"/>
        </w:rPr>
        <w:t xml:space="preserve">The 26% of records with an Unspecified contributing factor are assumed to be missing at random and are not treated as a meaningful category.</w:t>
      </w:r>
    </w:p>
    <w:p>
      <w:pPr>
        <w:pBdr>
          <w:bottom w:val="single" w:color="CCCCCC" w:sz="2" w:space="1"/>
        </w:pBdr>
        <w:spacing w:after="160" w:before="160"/>
      </w:pPr>
      <w:r>
        <w:t xml:space="preserve"/>
      </w:r>
    </w:p>
    <w:p>
      <w:pPr>
        <w:pStyle w:val="Heading1"/>
        <w:shd w:fill="1F3864" w:val="clear"/>
        <w:spacing w:after="120" w:before="360"/>
        <w:ind w:left="240" w:right="240"/>
      </w:pPr>
      <w:r>
        <w:rPr>
          <w:rFonts w:ascii="Arial" w:cs="Arial" w:eastAsia="Arial" w:hAnsi="Arial"/>
          <w:b/>
          <w:bCs/>
          <w:color w:val="FFFFFF"/>
          <w:sz w:val="36"/>
          <w:szCs w:val="36"/>
        </w:rPr>
        <w:t xml:space="preserve">4. Results</w:t>
      </w:r>
    </w:p>
    <w:p>
      <w:pPr>
        <w:spacing w:after="0" w:before="80"/>
      </w:pPr>
      <w:r>
        <w:t xml:space="preserve"/>
      </w:r>
    </w:p>
    <w:p>
      <w:pPr>
        <w:pBdr>
          <w:bottom w:val="single" w:color="2E75B6" w:sz="4" w:space="2"/>
        </w:pBdr>
        <w:spacing w:after="100" w:before="280"/>
      </w:pPr>
      <w:r>
        <w:rPr>
          <w:rFonts w:ascii="Arial" w:cs="Arial" w:eastAsia="Arial" w:hAnsi="Arial"/>
          <w:b/>
          <w:bCs/>
          <w:color w:val="1F3864"/>
          <w:sz w:val="28"/>
          <w:szCs w:val="28"/>
        </w:rPr>
        <w:t xml:space="preserve">4.1 City-wide Overview</w:t>
      </w:r>
    </w:p>
    <w:p>
      <w:pPr>
        <w:spacing w:after="80" w:before="80"/>
        <w:jc w:val="both"/>
      </w:pPr>
      <w:r>
        <w:rPr>
          <w:rFonts w:ascii="Arial" w:cs="Arial" w:eastAsia="Arial" w:hAnsi="Arial"/>
          <w:color w:val="1F2937"/>
          <w:sz w:val="22"/>
          <w:szCs w:val="22"/>
        </w:rPr>
        <w:t xml:space="preserve">Between January and August 2020, 74,881 motor vehicle collisions were recorded across New York City, resulting in 27,448 injuries and 144 fatalities. This produced an overall fatality rate of 0.19%, equivalent to one death for every 520 crashes. These headline figures, however, obscure a dramatic shift in the underlying data caused by the COVID-19 pandemic.</w:t>
      </w:r>
    </w:p>
    <w:p>
      <w:pPr>
        <w:spacing w:after="0" w:before="6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430"/>
        <w:gridCol w:w="1830"/>
        <w:gridCol w:w="1830"/>
        <w:gridCol w:w="1830"/>
        <w:gridCol w:w="1800"/>
      </w:tblGrid>
      <w:tr>
        <w:trPr>
          <w:tblHeader/>
        </w:trPr>
        <w:tc>
          <w:tcPr>
            <w:tcW w:type="dxa" w:w="2430"/>
            <w:tcBorders>
              <w:top w:val="single" w:color="CCCCCC" w:sz="1"/>
              <w:start w:val="single" w:color="CCCCCC" w:sz="1"/>
              <w:bottom w:val="single" w:color="CCCCCC" w:sz="1"/>
              <w:end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Borough</w:t>
            </w:r>
          </w:p>
        </w:tc>
        <w:tc>
          <w:tcPr>
            <w:tcW w:type="dxa" w:w="1830"/>
            <w:tcBorders>
              <w:top w:val="single" w:color="CCCCCC" w:sz="1"/>
              <w:start w:val="single" w:color="CCCCCC" w:sz="1"/>
              <w:bottom w:val="single" w:color="CCCCCC" w:sz="1"/>
              <w:end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Collisions</w:t>
            </w:r>
          </w:p>
        </w:tc>
        <w:tc>
          <w:tcPr>
            <w:tcW w:type="dxa" w:w="1830"/>
            <w:tcBorders>
              <w:top w:val="single" w:color="CCCCCC" w:sz="1"/>
              <w:start w:val="single" w:color="CCCCCC" w:sz="1"/>
              <w:bottom w:val="single" w:color="CCCCCC" w:sz="1"/>
              <w:end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of Total</w:t>
            </w:r>
          </w:p>
        </w:tc>
        <w:tc>
          <w:tcPr>
            <w:tcW w:type="dxa" w:w="1830"/>
            <w:tcBorders>
              <w:top w:val="single" w:color="CCCCCC" w:sz="1"/>
              <w:start w:val="single" w:color="CCCCCC" w:sz="1"/>
              <w:bottom w:val="single" w:color="CCCCCC" w:sz="1"/>
              <w:end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Injured</w:t>
            </w:r>
          </w:p>
        </w:tc>
        <w:tc>
          <w:tcPr>
            <w:tcW w:type="dxa" w:w="1800"/>
            <w:tcBorders>
              <w:top w:val="single" w:color="CCCCCC" w:sz="1"/>
              <w:start w:val="single" w:color="CCCCCC" w:sz="1"/>
              <w:bottom w:val="single" w:color="CCCCCC" w:sz="1"/>
              <w:end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Fatalities</w:t>
            </w:r>
          </w:p>
        </w:tc>
      </w:tr>
      <w:tr>
        <w:trPr>
          <w:tblHeader w:val="false"/>
        </w:trPr>
        <w:tc>
          <w:tcPr>
            <w:tcW w:type="dxa" w:w="243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Brooklyn</w:t>
            </w:r>
          </w:p>
        </w:tc>
        <w:tc>
          <w:tcPr>
            <w:tcW w:type="dxa" w:w="183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17,000</w:t>
            </w:r>
          </w:p>
        </w:tc>
        <w:tc>
          <w:tcPr>
            <w:tcW w:type="dxa" w:w="183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22.7%</w:t>
            </w:r>
          </w:p>
        </w:tc>
        <w:tc>
          <w:tcPr>
            <w:tcW w:type="dxa" w:w="183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Highest</w:t>
            </w:r>
          </w:p>
        </w:tc>
        <w:tc>
          <w:tcPr>
            <w:tcW w:type="dxa" w:w="180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Highest</w:t>
            </w:r>
          </w:p>
        </w:tc>
      </w:tr>
      <w:tr>
        <w:trPr>
          <w:tblHeader w:val="false"/>
        </w:trPr>
        <w:tc>
          <w:tcPr>
            <w:tcW w:type="dxa" w:w="243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Queens</w:t>
            </w:r>
          </w:p>
        </w:tc>
        <w:tc>
          <w:tcPr>
            <w:tcW w:type="dxa" w:w="183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14,000</w:t>
            </w:r>
          </w:p>
        </w:tc>
        <w:tc>
          <w:tcPr>
            <w:tcW w:type="dxa" w:w="183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18.7%</w:t>
            </w:r>
          </w:p>
        </w:tc>
        <w:tc>
          <w:tcPr>
            <w:tcW w:type="dxa" w:w="183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Second</w:t>
            </w:r>
          </w:p>
        </w:tc>
        <w:tc>
          <w:tcPr>
            <w:tcW w:type="dxa" w:w="180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Second</w:t>
            </w:r>
          </w:p>
        </w:tc>
      </w:tr>
      <w:tr>
        <w:trPr>
          <w:tblHeader w:val="false"/>
        </w:trPr>
        <w:tc>
          <w:tcPr>
            <w:tcW w:type="dxa" w:w="243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Bronx</w:t>
            </w:r>
          </w:p>
        </w:tc>
        <w:tc>
          <w:tcPr>
            <w:tcW w:type="dxa" w:w="183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9,000</w:t>
            </w:r>
          </w:p>
        </w:tc>
        <w:tc>
          <w:tcPr>
            <w:tcW w:type="dxa" w:w="183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12.0%</w:t>
            </w:r>
          </w:p>
        </w:tc>
        <w:tc>
          <w:tcPr>
            <w:tcW w:type="dxa" w:w="183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Third</w:t>
            </w:r>
          </w:p>
        </w:tc>
        <w:tc>
          <w:tcPr>
            <w:tcW w:type="dxa" w:w="180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Third</w:t>
            </w:r>
          </w:p>
        </w:tc>
      </w:tr>
      <w:tr>
        <w:trPr>
          <w:tblHeader w:val="false"/>
        </w:trPr>
        <w:tc>
          <w:tcPr>
            <w:tcW w:type="dxa" w:w="243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Manhattan</w:t>
            </w:r>
          </w:p>
        </w:tc>
        <w:tc>
          <w:tcPr>
            <w:tcW w:type="dxa" w:w="183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7,000</w:t>
            </w:r>
          </w:p>
        </w:tc>
        <w:tc>
          <w:tcPr>
            <w:tcW w:type="dxa" w:w="183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9.4%</w:t>
            </w:r>
          </w:p>
        </w:tc>
        <w:tc>
          <w:tcPr>
            <w:tcW w:type="dxa" w:w="183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Fourth</w:t>
            </w:r>
          </w:p>
        </w:tc>
        <w:tc>
          <w:tcPr>
            <w:tcW w:type="dxa" w:w="180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Fourth</w:t>
            </w:r>
          </w:p>
        </w:tc>
      </w:tr>
      <w:tr>
        <w:trPr>
          <w:tblHeader w:val="false"/>
        </w:trPr>
        <w:tc>
          <w:tcPr>
            <w:tcW w:type="dxa" w:w="243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Staten Island</w:t>
            </w:r>
          </w:p>
        </w:tc>
        <w:tc>
          <w:tcPr>
            <w:tcW w:type="dxa" w:w="183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1,000</w:t>
            </w:r>
          </w:p>
        </w:tc>
        <w:tc>
          <w:tcPr>
            <w:tcW w:type="dxa" w:w="183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1.3%</w:t>
            </w:r>
          </w:p>
        </w:tc>
        <w:tc>
          <w:tcPr>
            <w:tcW w:type="dxa" w:w="183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Lowest</w:t>
            </w:r>
          </w:p>
        </w:tc>
        <w:tc>
          <w:tcPr>
            <w:tcW w:type="dxa" w:w="180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Lowest</w:t>
            </w:r>
          </w:p>
        </w:tc>
      </w:tr>
      <w:tr>
        <w:trPr>
          <w:tblHeader w:val="false"/>
        </w:trPr>
        <w:tc>
          <w:tcPr>
            <w:tcW w:type="dxa" w:w="243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Unassigned</w:t>
            </w:r>
          </w:p>
        </w:tc>
        <w:tc>
          <w:tcPr>
            <w:tcW w:type="dxa" w:w="183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25,741</w:t>
            </w:r>
          </w:p>
        </w:tc>
        <w:tc>
          <w:tcPr>
            <w:tcW w:type="dxa" w:w="183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34.4%</w:t>
            </w:r>
          </w:p>
        </w:tc>
        <w:tc>
          <w:tcPr>
            <w:tcW w:type="dxa" w:w="183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Included in totals only</w:t>
            </w:r>
          </w:p>
        </w:tc>
        <w:tc>
          <w:tcPr>
            <w:tcW w:type="dxa" w:w="180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Included in totals only</w:t>
            </w:r>
          </w:p>
        </w:tc>
      </w:tr>
    </w:tbl>
    <w:p>
      <w:pPr>
        <w:spacing w:after="0" w:before="80"/>
      </w:pPr>
      <w:r>
        <w:t xml:space="preserve"/>
      </w:r>
    </w:p>
    <w:p>
      <w:pPr>
        <w:pBdr>
          <w:top w:val="dashed" w:color="E67E22" w:sz="2"/>
          <w:bottom w:val="dashed" w:color="E67E22" w:sz="2"/>
        </w:pBdr>
        <w:shd w:fill="FFF8E1" w:val="clear"/>
        <w:spacing w:after="100" w:before="100"/>
        <w:jc w:val="center"/>
      </w:pPr>
      <w:r>
        <w:rPr>
          <w:rFonts w:ascii="Arial" w:cs="Arial" w:eastAsia="Arial" w:hAnsi="Arial"/>
          <w:b/>
          <w:bCs/>
          <w:color w:val="E67E22"/>
          <w:sz w:val="20"/>
          <w:szCs w:val="20"/>
        </w:rPr>
        <w:t xml:space="preserve">Visual Reference: </w:t>
      </w:r>
      <w:r>
        <w:rPr>
          <w:rFonts w:ascii="Arial" w:cs="Arial" w:eastAsia="Arial" w:hAnsi="Arial"/>
          <w:color w:val="1F2937"/>
          <w:sz w:val="20"/>
          <w:szCs w:val="20"/>
        </w:rPr>
        <w:t xml:space="preserve">City-wide Summary Dashboard Page 1 | ArcGIS Density Heatmap | Borough Bar Chart</w:t>
      </w:r>
    </w:p>
    <w:p>
      <w:pPr>
        <w:pBdr>
          <w:bottom w:val="single" w:color="CCCCCC" w:sz="2" w:space="1"/>
        </w:pBdr>
        <w:spacing w:after="160" w:before="160"/>
      </w:pPr>
      <w:r>
        <w:t xml:space="preserve"/>
      </w:r>
    </w:p>
    <w:p>
      <w:pPr>
        <w:pBdr>
          <w:bottom w:val="single" w:color="2E75B6" w:sz="4" w:space="2"/>
        </w:pBdr>
        <w:spacing w:after="100" w:before="280"/>
      </w:pPr>
      <w:r>
        <w:rPr>
          <w:rFonts w:ascii="Arial" w:cs="Arial" w:eastAsia="Arial" w:hAnsi="Arial"/>
          <w:b/>
          <w:bCs/>
          <w:color w:val="1F3864"/>
          <w:sz w:val="28"/>
          <w:szCs w:val="28"/>
        </w:rPr>
        <w:t xml:space="preserve">4.2 COVID-19 Impact on Road Safety</w:t>
      </w:r>
    </w:p>
    <w:p>
      <w:pPr>
        <w:spacing w:after="80" w:before="80"/>
        <w:jc w:val="both"/>
      </w:pPr>
      <w:r>
        <w:rPr>
          <w:rFonts w:ascii="Arial" w:cs="Arial" w:eastAsia="Arial" w:hAnsi="Arial"/>
          <w:color w:val="1F2937"/>
          <w:sz w:val="22"/>
          <w:szCs w:val="22"/>
        </w:rPr>
        <w:t xml:space="preserve">The single most striking finding in the dataset is the effect of the COVID-19 lockdown. Daily collision volumes dropped from approximately 500 per day before 22 March to approximately 150 per day during the lockdown months of April and May, a reduction of approximately 70% within two weeks. This is not a gradual shift but an almost immediate structural break in the data that aligns precisely with the Pause order date.</w:t>
      </w:r>
    </w:p>
    <w:p>
      <w:pPr>
        <w:spacing w:after="0" w:before="6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430"/>
        <w:gridCol w:w="2430"/>
        <w:gridCol w:w="2430"/>
        <w:gridCol w:w="2430"/>
      </w:tblGrid>
      <w:tr>
        <w:trPr>
          <w:tblHeader/>
        </w:trPr>
        <w:tc>
          <w:tcPr>
            <w:tcW w:type="dxa" w:w="2430"/>
            <w:tcBorders>
              <w:top w:val="single" w:color="CCCCCC" w:sz="1"/>
              <w:start w:val="single" w:color="CCCCCC" w:sz="1"/>
              <w:bottom w:val="single" w:color="CCCCCC" w:sz="1"/>
              <w:end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Period</w:t>
            </w:r>
          </w:p>
        </w:tc>
        <w:tc>
          <w:tcPr>
            <w:tcW w:type="dxa" w:w="2430"/>
            <w:tcBorders>
              <w:top w:val="single" w:color="CCCCCC" w:sz="1"/>
              <w:start w:val="single" w:color="CCCCCC" w:sz="1"/>
              <w:bottom w:val="single" w:color="CCCCCC" w:sz="1"/>
              <w:end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Dates</w:t>
            </w:r>
          </w:p>
        </w:tc>
        <w:tc>
          <w:tcPr>
            <w:tcW w:type="dxa" w:w="2430"/>
            <w:tcBorders>
              <w:top w:val="single" w:color="CCCCCC" w:sz="1"/>
              <w:start w:val="single" w:color="CCCCCC" w:sz="1"/>
              <w:bottom w:val="single" w:color="CCCCCC" w:sz="1"/>
              <w:end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Daily Crashes</w:t>
            </w:r>
          </w:p>
        </w:tc>
        <w:tc>
          <w:tcPr>
            <w:tcW w:type="dxa" w:w="2430"/>
            <w:tcBorders>
              <w:top w:val="single" w:color="CCCCCC" w:sz="1"/>
              <w:start w:val="single" w:color="CCCCCC" w:sz="1"/>
              <w:bottom w:val="single" w:color="CCCCCC" w:sz="1"/>
              <w:end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vs Pre-Lockdown</w:t>
            </w:r>
          </w:p>
        </w:tc>
      </w:tr>
      <w:tr>
        <w:trPr>
          <w:tblHeader w:val="false"/>
        </w:trPr>
        <w:tc>
          <w:tcPr>
            <w:tcW w:type="dxa" w:w="243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Pre-Lockdown</w:t>
            </w:r>
          </w:p>
        </w:tc>
        <w:tc>
          <w:tcPr>
            <w:tcW w:type="dxa" w:w="243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Jan 1 to Mar 21</w:t>
            </w:r>
          </w:p>
        </w:tc>
        <w:tc>
          <w:tcPr>
            <w:tcW w:type="dxa" w:w="243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~500/day</w:t>
            </w:r>
          </w:p>
        </w:tc>
        <w:tc>
          <w:tcPr>
            <w:tcW w:type="dxa" w:w="243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Baseline</w:t>
            </w:r>
          </w:p>
        </w:tc>
      </w:tr>
      <w:tr>
        <w:trPr>
          <w:tblHeader w:val="false"/>
        </w:trPr>
        <w:tc>
          <w:tcPr>
            <w:tcW w:type="dxa" w:w="243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Lockdown</w:t>
            </w:r>
          </w:p>
        </w:tc>
        <w:tc>
          <w:tcPr>
            <w:tcW w:type="dxa" w:w="243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Mar 22 to Jun 7</w:t>
            </w:r>
          </w:p>
        </w:tc>
        <w:tc>
          <w:tcPr>
            <w:tcW w:type="dxa" w:w="243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0"/>
                <w:szCs w:val="20"/>
              </w:rPr>
              <w:t xml:space="preserve">~150/day</w:t>
            </w:r>
          </w:p>
        </w:tc>
        <w:tc>
          <w:tcPr>
            <w:tcW w:type="dxa" w:w="243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0"/>
                <w:szCs w:val="20"/>
              </w:rPr>
              <w:t xml:space="preserve">-70%</w:t>
            </w:r>
          </w:p>
        </w:tc>
      </w:tr>
      <w:tr>
        <w:trPr>
          <w:tblHeader w:val="false"/>
        </w:trPr>
        <w:tc>
          <w:tcPr>
            <w:tcW w:type="dxa" w:w="243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Re-opening</w:t>
            </w:r>
          </w:p>
        </w:tc>
        <w:tc>
          <w:tcPr>
            <w:tcW w:type="dxa" w:w="243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Jun 8 to Aug 29</w:t>
            </w:r>
          </w:p>
        </w:tc>
        <w:tc>
          <w:tcPr>
            <w:tcW w:type="dxa" w:w="243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67E22"/>
                <w:sz w:val="20"/>
                <w:szCs w:val="20"/>
              </w:rPr>
              <w:t xml:space="preserve">~300/day</w:t>
            </w:r>
          </w:p>
        </w:tc>
        <w:tc>
          <w:tcPr>
            <w:tcW w:type="dxa" w:w="243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67E22"/>
                <w:sz w:val="20"/>
                <w:szCs w:val="20"/>
              </w:rPr>
              <w:t xml:space="preserve">-40%</w:t>
            </w:r>
          </w:p>
        </w:tc>
      </w:tr>
    </w:tbl>
    <w:p>
      <w:pPr>
        <w:spacing w:after="0" w:before="80"/>
      </w:pPr>
      <w:r>
        <w:t xml:space="preserve"/>
      </w:r>
    </w:p>
    <w:p>
      <w:pPr>
        <w:spacing w:after="80" w:before="80"/>
        <w:jc w:val="both"/>
      </w:pPr>
      <w:r>
        <w:rPr>
          <w:rFonts w:ascii="Arial" w:cs="Arial" w:eastAsia="Arial" w:hAnsi="Arial"/>
          <w:b/>
          <w:bCs/>
          <w:color w:val="1F2937"/>
          <w:sz w:val="22"/>
          <w:szCs w:val="22"/>
        </w:rPr>
        <w:t xml:space="preserve">Critically, the re-opening did not restore pre-lockdown volumes. </w:t>
      </w:r>
      <w:r>
        <w:rPr>
          <w:rFonts w:ascii="Arial" w:cs="Arial" w:eastAsia="Arial" w:hAnsi="Arial"/>
          <w:color w:val="1F2937"/>
          <w:sz w:val="22"/>
          <w:szCs w:val="22"/>
        </w:rPr>
        <w:t xml:space="preserve">By the end of the study period (August 2020), daily crashes had recovered to approximately 300 per day, still 40% below the pre-lockdown baseline. This was consistent across all boroughs and all hours, indicating that overall traffic volume had not yet returned to 2020 pre-pandemic levels.</w:t>
      </w:r>
    </w:p>
    <w:p>
      <w:pPr>
        <w:spacing w:after="0" w:before="60"/>
      </w:pPr>
      <w:r>
        <w:t xml:space="preserve"/>
      </w:r>
    </w:p>
    <w:p>
      <w:pPr>
        <w:spacing w:after="80" w:before="80"/>
        <w:jc w:val="both"/>
      </w:pPr>
      <w:r>
        <w:rPr>
          <w:rFonts w:ascii="Arial" w:cs="Arial" w:eastAsia="Arial" w:hAnsi="Arial"/>
          <w:b/>
          <w:bCs/>
          <w:color w:val="1F2937"/>
          <w:sz w:val="22"/>
          <w:szCs w:val="22"/>
        </w:rPr>
        <w:t xml:space="preserve">An unexpected secondary finding: pedestrian fatalities increased proportionally during lockdown. </w:t>
      </w:r>
      <w:r>
        <w:rPr>
          <w:rFonts w:ascii="Arial" w:cs="Arial" w:eastAsia="Arial" w:hAnsi="Arial"/>
          <w:color w:val="1F2937"/>
          <w:sz w:val="22"/>
          <w:szCs w:val="22"/>
        </w:rPr>
        <w:t xml:space="preserve">Although the total number of incidents fell dramatically, the proportion of fatalities involving pedestrians increased during April and May. A plausible interpretation is that reduced traffic led to higher vehicle speeds on emptier roads, increasing the severity of pedestrian-involved collisions even as total volume fell. This is a critical public safety insight: fewer crashes does not automatically mean safer conditions for the most vulnerable road users.</w:t>
      </w:r>
    </w:p>
    <w:p>
      <w:pPr>
        <w:spacing w:after="0" w:before="60"/>
      </w:pPr>
      <w:r>
        <w:t xml:space="preserve"/>
      </w:r>
    </w:p>
    <w:p>
      <w:pPr>
        <w:shd w:fill="E8F4FD" w:val="clear"/>
        <w:spacing w:after="120" w:before="120"/>
        <w:ind w:left="360" w:right="360"/>
      </w:pPr>
      <w:r>
        <w:rPr>
          <w:rFonts w:ascii="Arial" w:cs="Arial" w:eastAsia="Arial" w:hAnsi="Arial"/>
          <w:b/>
          <w:bCs/>
          <w:color w:val="2E75B6"/>
          <w:sz w:val="22"/>
          <w:szCs w:val="22"/>
        </w:rPr>
        <w:t xml:space="preserve">Key Insight: </w:t>
      </w:r>
      <w:r>
        <w:rPr>
          <w:rFonts w:ascii="Arial" w:cs="Arial" w:eastAsia="Arial" w:hAnsi="Arial"/>
          <w:color w:val="1F2937"/>
          <w:sz w:val="22"/>
          <w:szCs w:val="22"/>
        </w:rPr>
        <w:t xml:space="preserve">The COVID-19 lockdown created a natural experiment in road safety, demonstrating that traffic volume is the single most powerful predictor of collision frequency. A 70% reduction in vehicles produced an immediate 70% reduction in crashes. No policy intervention has ever achieved an effect of this scale or speed.</w:t>
      </w:r>
    </w:p>
    <w:p>
      <w:pPr>
        <w:spacing w:after="0" w:before="60"/>
      </w:pPr>
      <w:r>
        <w:t xml:space="preserve"/>
      </w:r>
    </w:p>
    <w:p>
      <w:pPr>
        <w:pBdr>
          <w:top w:val="dashed" w:color="E67E22" w:sz="2"/>
          <w:bottom w:val="dashed" w:color="E67E22" w:sz="2"/>
        </w:pBdr>
        <w:shd w:fill="FFF8E1" w:val="clear"/>
        <w:spacing w:after="100" w:before="100"/>
        <w:jc w:val="center"/>
      </w:pPr>
      <w:r>
        <w:rPr>
          <w:rFonts w:ascii="Arial" w:cs="Arial" w:eastAsia="Arial" w:hAnsi="Arial"/>
          <w:b/>
          <w:bCs/>
          <w:color w:val="E67E22"/>
          <w:sz w:val="20"/>
          <w:szCs w:val="20"/>
        </w:rPr>
        <w:t xml:space="preserve">Visual Reference: </w:t>
      </w:r>
      <w:r>
        <w:rPr>
          <w:rFonts w:ascii="Arial" w:cs="Arial" w:eastAsia="Arial" w:hAnsi="Arial"/>
          <w:color w:val="1F2937"/>
          <w:sz w:val="20"/>
          <w:szCs w:val="20"/>
        </w:rPr>
        <w:t xml:space="preserve">COVID-19 Impact Timeline Chart | Pre-Lockdown vs Lockdown vs Re-opening Comparison Page on Dashboard</w:t>
      </w:r>
    </w:p>
    <w:p>
      <w:pPr>
        <w:pBdr>
          <w:bottom w:val="single" w:color="CCCCCC" w:sz="2" w:space="1"/>
        </w:pBdr>
        <w:spacing w:after="160" w:before="160"/>
      </w:pPr>
      <w:r>
        <w:t xml:space="preserve"/>
      </w:r>
    </w:p>
    <w:p>
      <w:pPr>
        <w:pBdr>
          <w:bottom w:val="single" w:color="2E75B6" w:sz="4" w:space="2"/>
        </w:pBdr>
        <w:spacing w:after="100" w:before="280"/>
      </w:pPr>
      <w:r>
        <w:rPr>
          <w:rFonts w:ascii="Arial" w:cs="Arial" w:eastAsia="Arial" w:hAnsi="Arial"/>
          <w:b/>
          <w:bCs/>
          <w:color w:val="1F3864"/>
          <w:sz w:val="28"/>
          <w:szCs w:val="28"/>
        </w:rPr>
        <w:t xml:space="preserve">4.3 Temporal Patterns: When Do Crashes Happen?</w:t>
      </w:r>
    </w:p>
    <w:p>
      <w:pPr>
        <w:spacing w:after="0" w:before="60"/>
      </w:pPr>
      <w:r>
        <w:t xml:space="preserve"/>
      </w:r>
    </w:p>
    <w:p>
      <w:pPr>
        <w:spacing w:after="80" w:before="200"/>
      </w:pPr>
      <w:r>
        <w:rPr>
          <w:rFonts w:ascii="Arial" w:cs="Arial" w:eastAsia="Arial" w:hAnsi="Arial"/>
          <w:b/>
          <w:bCs/>
          <w:color w:val="2E75B6"/>
          <w:sz w:val="24"/>
          <w:szCs w:val="24"/>
        </w:rPr>
        <w:t xml:space="preserve">By Day of the Week</w:t>
      </w:r>
    </w:p>
    <w:p>
      <w:pPr>
        <w:spacing w:after="80" w:before="80"/>
        <w:jc w:val="both"/>
      </w:pPr>
      <w:r>
        <w:rPr>
          <w:rFonts w:ascii="Arial" w:cs="Arial" w:eastAsia="Arial" w:hAnsi="Arial"/>
          <w:b/>
          <w:bCs/>
          <w:color w:val="1F2937"/>
          <w:sz w:val="22"/>
          <w:szCs w:val="22"/>
        </w:rPr>
        <w:t xml:space="preserve">Friday is the most dangerous day. </w:t>
      </w:r>
      <w:r>
        <w:rPr>
          <w:rFonts w:ascii="Arial" w:cs="Arial" w:eastAsia="Arial" w:hAnsi="Arial"/>
          <w:color w:val="1F2937"/>
          <w:sz w:val="22"/>
          <w:szCs w:val="22"/>
        </w:rPr>
        <w:t xml:space="preserve">Friday recorded the highest collision volume of any day of the week, consistently across all months and all boroughs throughout the study period. Sunday recorded the lowest weekday total. Saturday showed a distinct pattern: fewer daytime collisions than weekdays but significantly elevated late-night volumes, consistent with increased alcohol-related and social driving in the early hours of Sunday morning.</w:t>
      </w:r>
    </w:p>
    <w:p>
      <w:pPr>
        <w:spacing w:after="0" w:before="60"/>
      </w:pPr>
      <w:r>
        <w:t xml:space="preserve"/>
      </w:r>
    </w:p>
    <w:p>
      <w:pPr>
        <w:spacing w:after="80" w:before="200"/>
      </w:pPr>
      <w:r>
        <w:rPr>
          <w:rFonts w:ascii="Arial" w:cs="Arial" w:eastAsia="Arial" w:hAnsi="Arial"/>
          <w:b/>
          <w:bCs/>
          <w:color w:val="2E75B6"/>
          <w:sz w:val="24"/>
          <w:szCs w:val="24"/>
        </w:rPr>
        <w:t xml:space="preserve">By Hour of Day</w:t>
      </w:r>
    </w:p>
    <w:p>
      <w:pPr>
        <w:spacing w:after="80" w:before="80"/>
        <w:jc w:val="both"/>
      </w:pPr>
      <w:r>
        <w:rPr>
          <w:rFonts w:ascii="Arial" w:cs="Arial" w:eastAsia="Arial" w:hAnsi="Arial"/>
          <w:b/>
          <w:bCs/>
          <w:color w:val="1F2937"/>
          <w:sz w:val="22"/>
          <w:szCs w:val="22"/>
        </w:rPr>
        <w:t xml:space="preserve">Two distinct peaks define the daily pattern. </w:t>
      </w:r>
      <w:r>
        <w:rPr>
          <w:rFonts w:ascii="Arial" w:cs="Arial" w:eastAsia="Arial" w:hAnsi="Arial"/>
          <w:color w:val="1F2937"/>
          <w:sz w:val="22"/>
          <w:szCs w:val="22"/>
        </w:rPr>
        <w:t xml:space="preserve">As expected in a commuter city, crash volumes follow a twin-peak pattern. A morning rush hour peak occurs between 08:00 and 09:00, with a more prominent evening peak between 15:00 and 17:00. The lowest collision volumes occur consistently between 03:00 and 05:00 across all days.</w:t>
      </w:r>
    </w:p>
    <w:p>
      <w:pPr>
        <w:spacing w:after="0" w:before="60"/>
      </w:pPr>
      <w:r>
        <w:t xml:space="preserve"/>
      </w:r>
    </w:p>
    <w:p>
      <w:pPr>
        <w:spacing w:after="80" w:before="80"/>
        <w:jc w:val="both"/>
      </w:pPr>
      <w:r>
        <w:rPr>
          <w:rFonts w:ascii="Arial" w:cs="Arial" w:eastAsia="Arial" w:hAnsi="Arial"/>
          <w:b/>
          <w:bCs/>
          <w:color w:val="1F2937"/>
          <w:sz w:val="22"/>
          <w:szCs w:val="22"/>
        </w:rPr>
        <w:t xml:space="preserve">Friday at 16:00 is the single highest-risk period. </w:t>
      </w:r>
      <w:r>
        <w:rPr>
          <w:rFonts w:ascii="Arial" w:cs="Arial" w:eastAsia="Arial" w:hAnsi="Arial"/>
          <w:color w:val="1F2937"/>
          <w:sz w:val="22"/>
          <w:szCs w:val="22"/>
        </w:rPr>
        <w:t xml:space="preserve">The Day-Hour conditional formatting heatmap identified the intersection of Friday afternoon (15:00 to 17:00) as the highest-frequency collision window in the entire dataset. This is a predictable, recurring pattern and therefore a directly preventable one. Friday evening between 16:00 and 17:00 represents the convergence of commuter traffic, end-of-week distraction, and fatigue, all at the same time on the same roads.</w:t>
      </w:r>
    </w:p>
    <w:p>
      <w:pPr>
        <w:spacing w:after="0" w:before="60"/>
      </w:pPr>
      <w:r>
        <w:t xml:space="preserve"/>
      </w:r>
    </w:p>
    <w:p>
      <w:pPr>
        <w:shd w:fill="E8F4FD" w:val="clear"/>
        <w:spacing w:after="120" w:before="120"/>
        <w:ind w:left="360" w:right="360"/>
      </w:pPr>
      <w:r>
        <w:rPr>
          <w:rFonts w:ascii="Arial" w:cs="Arial" w:eastAsia="Arial" w:hAnsi="Arial"/>
          <w:b/>
          <w:bCs/>
          <w:color w:val="2E75B6"/>
          <w:sz w:val="22"/>
          <w:szCs w:val="22"/>
        </w:rPr>
        <w:t xml:space="preserve">Analytical Note: </w:t>
      </w:r>
      <w:r>
        <w:rPr>
          <w:rFonts w:ascii="Arial" w:cs="Arial" w:eastAsia="Arial" w:hAnsi="Arial"/>
          <w:color w:val="1F2937"/>
          <w:sz w:val="22"/>
          <w:szCs w:val="22"/>
        </w:rPr>
        <w:t xml:space="preserve">The Day-Hour heatmap was constructed using conditional formatting in Power BI, colouring cells from white (lowest frequency) to dark red (highest frequency). This visual immediately communicates risk patterns that would take multiple tables to express numerically.</w:t>
      </w:r>
    </w:p>
    <w:p>
      <w:pPr>
        <w:spacing w:after="0" w:before="60"/>
      </w:pPr>
      <w:r>
        <w:t xml:space="preserve"/>
      </w:r>
    </w:p>
    <w:p>
      <w:pPr>
        <w:pBdr>
          <w:top w:val="dashed" w:color="E67E22" w:sz="2"/>
          <w:bottom w:val="dashed" w:color="E67E22" w:sz="2"/>
        </w:pBdr>
        <w:shd w:fill="FFF8E1" w:val="clear"/>
        <w:spacing w:after="100" w:before="100"/>
        <w:jc w:val="center"/>
      </w:pPr>
      <w:r>
        <w:rPr>
          <w:rFonts w:ascii="Arial" w:cs="Arial" w:eastAsia="Arial" w:hAnsi="Arial"/>
          <w:b/>
          <w:bCs/>
          <w:color w:val="E67E22"/>
          <w:sz w:val="20"/>
          <w:szCs w:val="20"/>
        </w:rPr>
        <w:t xml:space="preserve">Visual Reference: </w:t>
      </w:r>
      <w:r>
        <w:rPr>
          <w:rFonts w:ascii="Arial" w:cs="Arial" w:eastAsia="Arial" w:hAnsi="Arial"/>
          <w:color w:val="1F2937"/>
          <w:sz w:val="20"/>
          <w:szCs w:val="20"/>
        </w:rPr>
        <w:t xml:space="preserve">Day-Hour Heatmap | Day of Week Bar Chart | Hourly Trend Line on Dashboard</w:t>
      </w:r>
    </w:p>
    <w:p>
      <w:pPr>
        <w:pBdr>
          <w:bottom w:val="single" w:color="CCCCCC" w:sz="2" w:space="1"/>
        </w:pBdr>
        <w:spacing w:after="160" w:before="160"/>
      </w:pPr>
      <w:r>
        <w:t xml:space="preserve"/>
      </w:r>
    </w:p>
    <w:p>
      <w:pPr>
        <w:pBdr>
          <w:bottom w:val="single" w:color="2E75B6" w:sz="4" w:space="2"/>
        </w:pBdr>
        <w:spacing w:after="100" w:before="280"/>
      </w:pPr>
      <w:r>
        <w:rPr>
          <w:rFonts w:ascii="Arial" w:cs="Arial" w:eastAsia="Arial" w:hAnsi="Arial"/>
          <w:b/>
          <w:bCs/>
          <w:color w:val="1F3864"/>
          <w:sz w:val="28"/>
          <w:szCs w:val="28"/>
        </w:rPr>
        <w:t xml:space="preserve">4.4 Geographic Analysis: Where Do Crashes Concentrate?</w:t>
      </w:r>
    </w:p>
    <w:p>
      <w:pPr>
        <w:spacing w:after="80" w:before="80"/>
        <w:jc w:val="both"/>
      </w:pPr>
      <w:r>
        <w:rPr>
          <w:rFonts w:ascii="Arial" w:cs="Arial" w:eastAsia="Arial" w:hAnsi="Arial"/>
          <w:b/>
          <w:bCs/>
          <w:color w:val="1F2937"/>
          <w:sz w:val="22"/>
          <w:szCs w:val="22"/>
        </w:rPr>
        <w:t xml:space="preserve">Brooklyn carries the highest absolute burden across every metric. </w:t>
      </w:r>
      <w:r>
        <w:rPr>
          <w:rFonts w:ascii="Arial" w:cs="Arial" w:eastAsia="Arial" w:hAnsi="Arial"/>
          <w:color w:val="1F2937"/>
          <w:sz w:val="22"/>
          <w:szCs w:val="22"/>
        </w:rPr>
        <w:t xml:space="preserve">With approximately 17,000 recorded collisions, Brooklyn had more crashes than any other borough, the highest number of injuries, and the most fatalities. This pattern held across all periods including lockdown, where Brooklyn's reduction in volumes mirrored the city-wide trend but its relative position among boroughs did not change.</w:t>
      </w:r>
    </w:p>
    <w:p>
      <w:pPr>
        <w:spacing w:after="0" w:before="60"/>
      </w:pPr>
      <w:r>
        <w:t xml:space="preserve"/>
      </w:r>
    </w:p>
    <w:p>
      <w:pPr>
        <w:spacing w:after="80" w:before="80"/>
        <w:jc w:val="both"/>
      </w:pPr>
      <w:r>
        <w:rPr>
          <w:rFonts w:ascii="Arial" w:cs="Arial" w:eastAsia="Arial" w:hAnsi="Arial"/>
          <w:b/>
          <w:bCs/>
          <w:color w:val="1F2937"/>
          <w:sz w:val="22"/>
          <w:szCs w:val="22"/>
        </w:rPr>
        <w:t xml:space="preserve">Belt Parkway is NYC's most dangerous single road. </w:t>
      </w:r>
      <w:r>
        <w:rPr>
          <w:rFonts w:ascii="Arial" w:cs="Arial" w:eastAsia="Arial" w:hAnsi="Arial"/>
          <w:color w:val="1F2937"/>
          <w:sz w:val="22"/>
          <w:szCs w:val="22"/>
        </w:rPr>
        <w:t xml:space="preserve">The ArcGIS crash point map for Brooklyn revealed that Belt Parkway, a major six-lane limited-access highway running along Brooklyn's southern waterfront, recorded more crashes than any individual street across Manhattan or any surface road in Brooklyn. This finding is counterintuitive: dense urban Manhattan streets, typically associated with high pedestrian and vehicle conflict, are less prone to crash frequency than a suburban highway. The explanation is speed: limited-access highways generate higher-severity and higher-frequency crashes precisely because vehicles travel faster.</w:t>
      </w:r>
    </w:p>
    <w:p>
      <w:pPr>
        <w:spacing w:after="0" w:before="60"/>
      </w:pPr>
      <w:r>
        <w:t xml:space="preserve"/>
      </w:r>
    </w:p>
    <w:p>
      <w:pPr>
        <w:spacing w:after="80" w:before="80"/>
        <w:jc w:val="both"/>
      </w:pPr>
      <w:r>
        <w:rPr>
          <w:rFonts w:ascii="Arial" w:cs="Arial" w:eastAsia="Arial" w:hAnsi="Arial"/>
          <w:b/>
          <w:bCs/>
          <w:color w:val="1F2937"/>
          <w:sz w:val="22"/>
          <w:szCs w:val="22"/>
        </w:rPr>
        <w:t xml:space="preserve">Manhattan has disproportionately high Taxi involvement. </w:t>
      </w:r>
      <w:r>
        <w:rPr>
          <w:rFonts w:ascii="Arial" w:cs="Arial" w:eastAsia="Arial" w:hAnsi="Arial"/>
          <w:color w:val="1F2937"/>
          <w:sz w:val="22"/>
          <w:szCs w:val="22"/>
        </w:rPr>
        <w:t xml:space="preserve">The vehicle type analysis showed Manhattan with a significantly higher proportion of Taxi collisions than any other borough, directly reflecting the density of for-hire vehicles operating in the borough. This is an important consideration for taxi regulation and driver fatigue policy in Manhattan specifically.</w:t>
      </w:r>
    </w:p>
    <w:p>
      <w:pPr>
        <w:spacing w:after="0" w:before="60"/>
      </w:pPr>
      <w:r>
        <w:t xml:space="preserve"/>
      </w:r>
    </w:p>
    <w:p>
      <w:pPr>
        <w:spacing w:after="80" w:before="80"/>
        <w:jc w:val="both"/>
      </w:pPr>
      <w:r>
        <w:rPr>
          <w:rFonts w:ascii="Arial" w:cs="Arial" w:eastAsia="Arial" w:hAnsi="Arial"/>
          <w:b/>
          <w:bCs/>
          <w:color w:val="1F2937"/>
          <w:sz w:val="22"/>
          <w:szCs w:val="22"/>
        </w:rPr>
        <w:t xml:space="preserve">Staten Island shows a single-corridor concentration pattern. </w:t>
      </w:r>
      <w:r>
        <w:rPr>
          <w:rFonts w:ascii="Arial" w:cs="Arial" w:eastAsia="Arial" w:hAnsi="Arial"/>
          <w:color w:val="1F2937"/>
          <w:sz w:val="22"/>
          <w:szCs w:val="22"/>
        </w:rPr>
        <w:t xml:space="preserve">Although Staten Island has the lowest absolute collision count, the ArcGIS map revealed an unusual pattern: crash concentration was heavily weighted toward a single north-south running roadway rather than distributed across multiple roads. This suggests a specific infrastructure or speed management issue on that corridor rather than a city-wide problem.</w:t>
      </w:r>
    </w:p>
    <w:p>
      <w:pPr>
        <w:spacing w:after="0" w:before="60"/>
      </w:pPr>
      <w:r>
        <w:t xml:space="preserve"/>
      </w:r>
    </w:p>
    <w:p>
      <w:pPr>
        <w:pBdr>
          <w:top w:val="dashed" w:color="E67E22" w:sz="2"/>
          <w:bottom w:val="dashed" w:color="E67E22" w:sz="2"/>
        </w:pBdr>
        <w:shd w:fill="FFF8E1" w:val="clear"/>
        <w:spacing w:after="100" w:before="100"/>
        <w:jc w:val="center"/>
      </w:pPr>
      <w:r>
        <w:rPr>
          <w:rFonts w:ascii="Arial" w:cs="Arial" w:eastAsia="Arial" w:hAnsi="Arial"/>
          <w:b/>
          <w:bCs/>
          <w:color w:val="E67E22"/>
          <w:sz w:val="20"/>
          <w:szCs w:val="20"/>
        </w:rPr>
        <w:t xml:space="preserve">Visual Reference: </w:t>
      </w:r>
      <w:r>
        <w:rPr>
          <w:rFonts w:ascii="Arial" w:cs="Arial" w:eastAsia="Arial" w:hAnsi="Arial"/>
          <w:color w:val="1F2937"/>
          <w:sz w:val="20"/>
          <w:szCs w:val="20"/>
        </w:rPr>
        <w:t xml:space="preserve">ArcGIS Density Heatmap (Page 1) | Borough Crash Point Map (Page 3) | Borough Bar Charts on Dashboard</w:t>
      </w:r>
    </w:p>
    <w:p>
      <w:pPr>
        <w:pBdr>
          <w:bottom w:val="single" w:color="CCCCCC" w:sz="2" w:space="1"/>
        </w:pBdr>
        <w:spacing w:after="160" w:before="160"/>
      </w:pPr>
      <w:r>
        <w:t xml:space="preserve"/>
      </w:r>
    </w:p>
    <w:p>
      <w:pPr>
        <w:pBdr>
          <w:bottom w:val="single" w:color="2E75B6" w:sz="4" w:space="2"/>
        </w:pBdr>
        <w:spacing w:after="100" w:before="280"/>
      </w:pPr>
      <w:r>
        <w:rPr>
          <w:rFonts w:ascii="Arial" w:cs="Arial" w:eastAsia="Arial" w:hAnsi="Arial"/>
          <w:b/>
          <w:bCs/>
          <w:color w:val="1F3864"/>
          <w:sz w:val="28"/>
          <w:szCs w:val="28"/>
        </w:rPr>
        <w:t xml:space="preserve">4.5 Contributing Factors: Cause of Crash vs Cause of Death</w:t>
      </w:r>
    </w:p>
    <w:p>
      <w:pPr>
        <w:spacing w:after="80" w:before="80"/>
        <w:jc w:val="both"/>
      </w:pPr>
      <w:r>
        <w:rPr>
          <w:rFonts w:ascii="Arial" w:cs="Arial" w:eastAsia="Arial" w:hAnsi="Arial"/>
          <w:color w:val="1F2937"/>
          <w:sz w:val="22"/>
          <w:szCs w:val="22"/>
        </w:rPr>
        <w:t xml:space="preserve">One of the most analytically significant findings in the dataset is the divergence between what causes crashes and what causes fatalities. These are not the same problem and should not be treated with the same policy response.</w:t>
      </w:r>
    </w:p>
    <w:p>
      <w:pPr>
        <w:spacing w:after="0" w:before="6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2800"/>
        <w:gridCol w:w="2000"/>
        <w:gridCol w:w="2000"/>
        <w:gridCol w:w="2920"/>
      </w:tblGrid>
      <w:tr>
        <w:trPr>
          <w:tblHeader/>
        </w:trPr>
        <w:tc>
          <w:tcPr>
            <w:tcW w:type="dxa" w:w="2800"/>
            <w:tcBorders>
              <w:top w:val="single" w:color="CCCCCC" w:sz="1"/>
              <w:start w:val="single" w:color="CCCCCC" w:sz="1"/>
              <w:bottom w:val="single" w:color="CCCCCC" w:sz="1"/>
              <w:end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Contributing Factor</w:t>
            </w:r>
          </w:p>
        </w:tc>
        <w:tc>
          <w:tcPr>
            <w:tcW w:type="dxa" w:w="2000"/>
            <w:tcBorders>
              <w:top w:val="single" w:color="CCCCCC" w:sz="1"/>
              <w:start w:val="single" w:color="CCCCCC" w:sz="1"/>
              <w:bottom w:val="single" w:color="CCCCCC" w:sz="1"/>
              <w:end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Crash Count</w:t>
            </w:r>
          </w:p>
        </w:tc>
        <w:tc>
          <w:tcPr>
            <w:tcW w:type="dxa" w:w="2000"/>
            <w:tcBorders>
              <w:top w:val="single" w:color="CCCCCC" w:sz="1"/>
              <w:start w:val="single" w:color="CCCCCC" w:sz="1"/>
              <w:bottom w:val="single" w:color="CCCCCC" w:sz="1"/>
              <w:end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Fatalities</w:t>
            </w:r>
          </w:p>
        </w:tc>
        <w:tc>
          <w:tcPr>
            <w:tcW w:type="dxa" w:w="2920"/>
            <w:tcBorders>
              <w:top w:val="single" w:color="CCCCCC" w:sz="1"/>
              <w:start w:val="single" w:color="CCCCCC" w:sz="1"/>
              <w:bottom w:val="single" w:color="CCCCCC" w:sz="1"/>
              <w:end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Implication</w:t>
            </w:r>
          </w:p>
        </w:tc>
      </w:tr>
      <w:tr>
        <w:trPr>
          <w:tblHeader w:val="false"/>
        </w:trP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Driver Inattention / Distraction</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19,123 (25.5%)</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Not top cause</w:t>
            </w:r>
          </w:p>
        </w:tc>
        <w:tc>
          <w:tcPr>
            <w:tcW w:type="dxa" w:w="292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Volume reduction focus</w:t>
            </w:r>
          </w:p>
        </w:tc>
      </w:tr>
      <w:tr>
        <w:trPr>
          <w:tblHeader w:val="false"/>
        </w:trPr>
        <w:tc>
          <w:tcPr>
            <w:tcW w:type="dxa" w:w="280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Unsafe Speed</w:t>
            </w:r>
          </w:p>
        </w:tc>
        <w:tc>
          <w:tcPr>
            <w:tcW w:type="dxa" w:w="200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Not top cause</w:t>
            </w:r>
          </w:p>
        </w:tc>
        <w:tc>
          <w:tcPr>
            <w:tcW w:type="dxa" w:w="200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39 deaths (1st)</w:t>
            </w:r>
          </w:p>
        </w:tc>
        <w:tc>
          <w:tcPr>
            <w:tcW w:type="dxa" w:w="2920"/>
            <w:tcBorders>
              <w:top w:val="single" w:color="CCCCCC" w:sz="1"/>
              <w:start w:val="single" w:color="CCCCCC" w:sz="1"/>
              <w:bottom w:val="single" w:color="CCCCCC" w:sz="1"/>
              <w:end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Fatality reduction focus</w:t>
            </w:r>
          </w:p>
        </w:tc>
      </w:tr>
      <w:tr>
        <w:trPr>
          <w:tblHeader w:val="false"/>
        </w:trPr>
        <w:tc>
          <w:tcPr>
            <w:tcW w:type="dxa" w:w="280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Traffic Control Disregard</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F2937"/>
                <w:sz w:val="20"/>
                <w:szCs w:val="20"/>
              </w:rPr>
              <w:t xml:space="preserve">Moderate</w:t>
            </w:r>
          </w:p>
        </w:tc>
        <w:tc>
          <w:tcPr>
            <w:tcW w:type="dxa" w:w="200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15 deaths (2nd)</w:t>
            </w:r>
          </w:p>
        </w:tc>
        <w:tc>
          <w:tcPr>
            <w:tcW w:type="dxa" w:w="2920"/>
            <w:tcBorders>
              <w:top w:val="single" w:color="CCCCCC" w:sz="1"/>
              <w:start w:val="single" w:color="CCCCCC" w:sz="1"/>
              <w:bottom w:val="single" w:color="CCCCCC" w:sz="1"/>
              <w:end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Enforcement focus</w:t>
            </w:r>
          </w:p>
        </w:tc>
      </w:tr>
    </w:tbl>
    <w:p>
      <w:pPr>
        <w:spacing w:after="0" w:before="80"/>
      </w:pPr>
      <w:r>
        <w:t xml:space="preserve"/>
      </w:r>
    </w:p>
    <w:p>
      <w:pPr>
        <w:spacing w:after="80" w:before="80"/>
        <w:jc w:val="both"/>
      </w:pPr>
      <w:r>
        <w:rPr>
          <w:rFonts w:ascii="Arial" w:cs="Arial" w:eastAsia="Arial" w:hAnsi="Arial"/>
          <w:b/>
          <w:bCs/>
          <w:color w:val="1F2937"/>
          <w:sz w:val="22"/>
          <w:szCs w:val="22"/>
        </w:rPr>
        <w:t xml:space="preserve">Driver Inattention is the top crash cause but not the top killer. </w:t>
      </w:r>
      <w:r>
        <w:rPr>
          <w:rFonts w:ascii="Arial" w:cs="Arial" w:eastAsia="Arial" w:hAnsi="Arial"/>
          <w:color w:val="1F2937"/>
          <w:sz w:val="22"/>
          <w:szCs w:val="22"/>
        </w:rPr>
        <w:t xml:space="preserve">At 19,123 instances (25.5% of all recorded causes), Driver Inattention or Distraction generated more crashes than any other single factor. However, it was not the leading cause of fatalities. Unsafe Speed caused 39 deaths, more than double the next highest cause (Traffic Control Disregard at 15). This gap has a direct policy implication: campaigns targeting distracted driving will reduce crash numbers but may have little effect on the fatality rate. Speed reduction measures are the primary lever for saving lives.</w:t>
      </w:r>
    </w:p>
    <w:p>
      <w:pPr>
        <w:spacing w:after="0" w:before="60"/>
      </w:pPr>
      <w:r>
        <w:t xml:space="preserve"/>
      </w:r>
    </w:p>
    <w:p>
      <w:pPr>
        <w:spacing w:after="80" w:before="80"/>
        <w:jc w:val="both"/>
      </w:pPr>
      <w:r>
        <w:rPr>
          <w:rFonts w:ascii="Arial" w:cs="Arial" w:eastAsia="Arial" w:hAnsi="Arial"/>
          <w:b/>
          <w:bCs/>
          <w:color w:val="1F2937"/>
          <w:sz w:val="22"/>
          <w:szCs w:val="22"/>
        </w:rPr>
        <w:t xml:space="preserve">Vehicle type: Sedans and SUVs account for 82.76% of all crash vehicles. </w:t>
      </w:r>
      <w:r>
        <w:rPr>
          <w:rFonts w:ascii="Arial" w:cs="Arial" w:eastAsia="Arial" w:hAnsi="Arial"/>
          <w:color w:val="1F2937"/>
          <w:sz w:val="22"/>
          <w:szCs w:val="22"/>
        </w:rPr>
        <w:t xml:space="preserve">Sedans were the primary vehicle in 45.24% of all crashes, followed by SUVs and Station Wagons at 37.52%. Together these two categories represent over four in five crash vehicles. This reflects the composition of the NYC vehicle fleet rather than any disproportionate risk from these vehicle types specifically.</w:t>
      </w:r>
    </w:p>
    <w:p>
      <w:pPr>
        <w:spacing w:after="0" w:before="60"/>
      </w:pPr>
      <w:r>
        <w:t xml:space="preserve"/>
      </w:r>
    </w:p>
    <w:p>
      <w:pPr>
        <w:pBdr>
          <w:top w:val="dashed" w:color="E67E22" w:sz="2"/>
          <w:bottom w:val="dashed" w:color="E67E22" w:sz="2"/>
        </w:pBdr>
        <w:shd w:fill="FFF8E1" w:val="clear"/>
        <w:spacing w:after="100" w:before="100"/>
        <w:jc w:val="center"/>
      </w:pPr>
      <w:r>
        <w:rPr>
          <w:rFonts w:ascii="Arial" w:cs="Arial" w:eastAsia="Arial" w:hAnsi="Arial"/>
          <w:b/>
          <w:bCs/>
          <w:color w:val="E67E22"/>
          <w:sz w:val="20"/>
          <w:szCs w:val="20"/>
        </w:rPr>
        <w:t xml:space="preserve">Visual Reference: </w:t>
      </w:r>
      <w:r>
        <w:rPr>
          <w:rFonts w:ascii="Arial" w:cs="Arial" w:eastAsia="Arial" w:hAnsi="Arial"/>
          <w:color w:val="1F2937"/>
          <w:sz w:val="20"/>
          <w:szCs w:val="20"/>
        </w:rPr>
        <w:t xml:space="preserve">Contributing Factors Bar Chart | Fatalities by Cause Chart | Vehicle Type Donut Chart on Dashboard</w:t>
      </w:r>
    </w:p>
    <w:p>
      <w:pPr>
        <w:pBdr>
          <w:bottom w:val="single" w:color="CCCCCC" w:sz="2" w:space="1"/>
        </w:pBdr>
        <w:spacing w:after="160" w:before="160"/>
      </w:pPr>
      <w:r>
        <w:t xml:space="preserve"/>
      </w:r>
    </w:p>
    <w:p>
      <w:pPr>
        <w:pBdr>
          <w:bottom w:val="single" w:color="2E75B6" w:sz="4" w:space="2"/>
        </w:pBdr>
        <w:spacing w:after="100" w:before="280"/>
      </w:pPr>
      <w:r>
        <w:rPr>
          <w:rFonts w:ascii="Arial" w:cs="Arial" w:eastAsia="Arial" w:hAnsi="Arial"/>
          <w:b/>
          <w:bCs/>
          <w:color w:val="1F3864"/>
          <w:sz w:val="28"/>
          <w:szCs w:val="28"/>
        </w:rPr>
        <w:t xml:space="preserve">4.6 Vulnerable Road Users</w:t>
      </w:r>
    </w:p>
    <w:p>
      <w:pPr>
        <w:spacing w:after="80" w:before="80"/>
        <w:jc w:val="both"/>
      </w:pPr>
      <w:r>
        <w:rPr>
          <w:rFonts w:ascii="Arial" w:cs="Arial" w:eastAsia="Arial" w:hAnsi="Arial"/>
          <w:color w:val="1F2937"/>
          <w:sz w:val="22"/>
          <w:szCs w:val="22"/>
        </w:rPr>
        <w:t xml:space="preserve">Drivers account for the largest proportion of those injured (approximately 20,000), reflecting their higher share of road users. However, the data on pedestrians and cyclists reveals disproportionate risk relative to their numbers.</w:t>
      </w:r>
    </w:p>
    <w:p>
      <w:pPr>
        <w:spacing w:after="0" w:before="60"/>
      </w:pPr>
      <w:r>
        <w:t xml:space="preserve"/>
      </w:r>
    </w:p>
    <w:p>
      <w:pPr>
        <w:spacing w:after="80" w:before="80"/>
        <w:jc w:val="both"/>
      </w:pPr>
      <w:r>
        <w:rPr>
          <w:rFonts w:ascii="Arial" w:cs="Arial" w:eastAsia="Arial" w:hAnsi="Arial"/>
          <w:b/>
          <w:bCs/>
          <w:color w:val="1F2937"/>
          <w:sz w:val="22"/>
          <w:szCs w:val="22"/>
        </w:rPr>
        <w:t xml:space="preserve">Cyclists face a concentrated evening risk window. </w:t>
      </w:r>
      <w:r>
        <w:rPr>
          <w:rFonts w:ascii="Arial" w:cs="Arial" w:eastAsia="Arial" w:hAnsi="Arial"/>
          <w:color w:val="1F2937"/>
          <w:sz w:val="22"/>
          <w:szCs w:val="22"/>
        </w:rPr>
        <w:t xml:space="preserve">Cyclist injuries show a very distinct peak at 17:00, closely matching the evening commuter rush hour. This peak is sharper than the equivalent pattern for driver injuries and suggests that cyclists face their highest risk in a concentrated one to two hour window each day. This is actionable: targeted infrastructure interventions (protected lanes, signal timing) during the 16:00 to 18:00 window could materially reduce cyclist injuries.</w:t>
      </w:r>
    </w:p>
    <w:p>
      <w:pPr>
        <w:spacing w:after="0" w:before="60"/>
      </w:pPr>
      <w:r>
        <w:t xml:space="preserve"/>
      </w:r>
    </w:p>
    <w:p>
      <w:pPr>
        <w:spacing w:after="80" w:before="80"/>
        <w:jc w:val="both"/>
      </w:pPr>
      <w:r>
        <w:rPr>
          <w:rFonts w:ascii="Arial" w:cs="Arial" w:eastAsia="Arial" w:hAnsi="Arial"/>
          <w:b/>
          <w:bCs/>
          <w:color w:val="1F2937"/>
          <w:sz w:val="22"/>
          <w:szCs w:val="22"/>
        </w:rPr>
        <w:t xml:space="preserve">Pedestrian fatality proportion increased during lockdown despite fewer crashes. </w:t>
      </w:r>
      <w:r>
        <w:rPr>
          <w:rFonts w:ascii="Arial" w:cs="Arial" w:eastAsia="Arial" w:hAnsi="Arial"/>
          <w:color w:val="1F2937"/>
          <w:sz w:val="22"/>
          <w:szCs w:val="22"/>
        </w:rPr>
        <w:t xml:space="preserve">This is one of the most important findings in the entire dataset. During April and May 2020, when total crash volumes fell by 70%, the proportion of fatalities involving pedestrians increased. The most plausible explanation is that reduced traffic volumes led to higher vehicle speeds on emptier roads, increasing the lethal force of collisions that did occur. This demonstrates that volume reduction alone does not protect pedestrians if it is accompanied by speed increases. Speed management must accompany any traffic reduction policy.</w:t>
      </w:r>
    </w:p>
    <w:p>
      <w:pPr>
        <w:spacing w:after="0" w:before="60"/>
      </w:pPr>
      <w:r>
        <w:t xml:space="preserve"/>
      </w:r>
    </w:p>
    <w:p>
      <w:pPr>
        <w:shd w:fill="E8F4FD" w:val="clear"/>
        <w:spacing w:after="120" w:before="120"/>
        <w:ind w:left="360" w:right="360"/>
      </w:pPr>
      <w:r>
        <w:rPr>
          <w:rFonts w:ascii="Arial" w:cs="Arial" w:eastAsia="Arial" w:hAnsi="Arial"/>
          <w:b/>
          <w:bCs/>
          <w:color w:val="2E75B6"/>
          <w:sz w:val="22"/>
          <w:szCs w:val="22"/>
        </w:rPr>
        <w:t xml:space="preserve">Key Finding: </w:t>
      </w:r>
      <w:r>
        <w:rPr>
          <w:rFonts w:ascii="Arial" w:cs="Arial" w:eastAsia="Arial" w:hAnsi="Arial"/>
          <w:color w:val="1F2937"/>
          <w:sz w:val="22"/>
          <w:szCs w:val="22"/>
        </w:rPr>
        <w:t xml:space="preserve">Pedestrians became proportionally more at risk during the lockdown, not less. Fewer cars at higher speeds is more dangerous for pedestrians than more cars at lower speeds. This has direct implications for urban speed limit policy and traffic calming infrastructure.</w:t>
      </w:r>
    </w:p>
    <w:p>
      <w:pPr>
        <w:spacing w:after="0" w:before="60"/>
      </w:pPr>
      <w:r>
        <w:t xml:space="preserve"/>
      </w:r>
    </w:p>
    <w:p>
      <w:pPr>
        <w:pBdr>
          <w:top w:val="dashed" w:color="E67E22" w:sz="2"/>
          <w:bottom w:val="dashed" w:color="E67E22" w:sz="2"/>
        </w:pBdr>
        <w:shd w:fill="FFF8E1" w:val="clear"/>
        <w:spacing w:after="100" w:before="100"/>
        <w:jc w:val="center"/>
      </w:pPr>
      <w:r>
        <w:rPr>
          <w:rFonts w:ascii="Arial" w:cs="Arial" w:eastAsia="Arial" w:hAnsi="Arial"/>
          <w:b/>
          <w:bCs/>
          <w:color w:val="E67E22"/>
          <w:sz w:val="20"/>
          <w:szCs w:val="20"/>
        </w:rPr>
        <w:t xml:space="preserve">Visual Reference: </w:t>
      </w:r>
      <w:r>
        <w:rPr>
          <w:rFonts w:ascii="Arial" w:cs="Arial" w:eastAsia="Arial" w:hAnsi="Arial"/>
          <w:color w:val="1F2937"/>
          <w:sz w:val="20"/>
          <w:szCs w:val="20"/>
        </w:rPr>
        <w:t xml:space="preserve">Vulnerable Road Users Page on Dashboard | Cyclist Injury Hourly Chart | Pedestrian Fatality Period Comparison</w:t>
      </w:r>
    </w:p>
    <w:p>
      <w:pPr>
        <w:pBdr>
          <w:bottom w:val="single" w:color="CCCCCC" w:sz="2" w:space="1"/>
        </w:pBdr>
        <w:spacing w:after="160" w:before="160"/>
      </w:pPr>
      <w:r>
        <w:t xml:space="preserve"/>
      </w:r>
    </w:p>
    <w:p>
      <w:pPr>
        <w:pStyle w:val="Heading1"/>
        <w:shd w:fill="1F3864" w:val="clear"/>
        <w:spacing w:after="120" w:before="360"/>
        <w:ind w:left="240" w:right="240"/>
      </w:pPr>
      <w:r>
        <w:rPr>
          <w:rFonts w:ascii="Arial" w:cs="Arial" w:eastAsia="Arial" w:hAnsi="Arial"/>
          <w:b/>
          <w:bCs/>
          <w:color w:val="FFFFFF"/>
          <w:sz w:val="36"/>
          <w:szCs w:val="36"/>
        </w:rPr>
        <w:t xml:space="preserve">5. Discussion</w:t>
      </w:r>
    </w:p>
    <w:p>
      <w:pPr>
        <w:spacing w:after="0" w:before="80"/>
      </w:pPr>
      <w:r>
        <w:t xml:space="preserve"/>
      </w:r>
    </w:p>
    <w:p>
      <w:pPr>
        <w:pBdr>
          <w:bottom w:val="single" w:color="2E75B6" w:sz="4" w:space="2"/>
        </w:pBdr>
        <w:spacing w:after="100" w:before="280"/>
      </w:pPr>
      <w:r>
        <w:rPr>
          <w:rFonts w:ascii="Arial" w:cs="Arial" w:eastAsia="Arial" w:hAnsi="Arial"/>
          <w:b/>
          <w:bCs/>
          <w:color w:val="1F3864"/>
          <w:sz w:val="28"/>
          <w:szCs w:val="28"/>
        </w:rPr>
        <w:t xml:space="preserve">5.1 Interpretation of Results</w:t>
      </w:r>
    </w:p>
    <w:p>
      <w:pPr>
        <w:spacing w:after="80" w:before="80"/>
        <w:jc w:val="both"/>
      </w:pPr>
      <w:r>
        <w:rPr>
          <w:rFonts w:ascii="Arial" w:cs="Arial" w:eastAsia="Arial" w:hAnsi="Arial"/>
          <w:color w:val="1F2937"/>
          <w:sz w:val="22"/>
          <w:szCs w:val="22"/>
        </w:rPr>
        <w:t xml:space="preserve">Taken together, the five strands of analysis produce a coherent account of road safety in New York City during a uniquely disrupted year:</w:t>
      </w:r>
    </w:p>
    <w:p>
      <w:pPr>
        <w:spacing w:after="0" w:before="60"/>
      </w:pPr>
      <w:r>
        <w:t xml:space="preserve"/>
      </w:r>
    </w:p>
    <w:p>
      <w:pPr>
        <w:spacing w:after="80" w:before="80"/>
        <w:jc w:val="both"/>
      </w:pPr>
      <w:r>
        <w:rPr>
          <w:rFonts w:ascii="Arial" w:cs="Arial" w:eastAsia="Arial" w:hAnsi="Arial"/>
          <w:b/>
          <w:bCs/>
          <w:color w:val="1F2937"/>
          <w:sz w:val="22"/>
          <w:szCs w:val="22"/>
        </w:rPr>
        <w:t xml:space="preserve">Traffic volume is the dominant variable in road safety. </w:t>
      </w:r>
      <w:r>
        <w:rPr>
          <w:rFonts w:ascii="Arial" w:cs="Arial" w:eastAsia="Arial" w:hAnsi="Arial"/>
          <w:color w:val="1F2937"/>
          <w:sz w:val="22"/>
          <w:szCs w:val="22"/>
        </w:rPr>
        <w:t xml:space="preserve">The 70% lockdown reduction in crashes is the clearest possible evidence that the number of vehicles on the road is the primary driver of collision frequency. No enforcement campaign, education programme, or infrastructure investment has ever achieved a comparable effect. This does not mean those interventions are valueless, but it does establish a hierarchy: reducing vehicle volume reduces crashes more reliably than anything else.</w:t>
      </w:r>
    </w:p>
    <w:p>
      <w:pPr>
        <w:spacing w:after="0" w:before="60"/>
      </w:pPr>
      <w:r>
        <w:t xml:space="preserve"/>
      </w:r>
    </w:p>
    <w:p>
      <w:pPr>
        <w:spacing w:after="80" w:before="80"/>
        <w:jc w:val="both"/>
      </w:pPr>
      <w:r>
        <w:rPr>
          <w:rFonts w:ascii="Arial" w:cs="Arial" w:eastAsia="Arial" w:hAnsi="Arial"/>
          <w:b/>
          <w:bCs/>
          <w:color w:val="1F2937"/>
          <w:sz w:val="22"/>
          <w:szCs w:val="22"/>
        </w:rPr>
        <w:t xml:space="preserve">Collision frequency and fatality risk have different causes and require different responses. </w:t>
      </w:r>
      <w:r>
        <w:rPr>
          <w:rFonts w:ascii="Arial" w:cs="Arial" w:eastAsia="Arial" w:hAnsi="Arial"/>
          <w:color w:val="1F2937"/>
          <w:sz w:val="22"/>
          <w:szCs w:val="22"/>
        </w:rPr>
        <w:t xml:space="preserve">Driver Inattention reduces collision counts. Unsafe Speed reduces deaths. Conflating these two problems into a single road safety strategy will produce suboptimal outcomes for at least one of them. The data supports a dual-track approach: distraction reduction campaigns targeting high-frequency, low-severity crashes; and speed management targeting low-frequency, high-severity fatalities.</w:t>
      </w:r>
    </w:p>
    <w:p>
      <w:pPr>
        <w:spacing w:after="0" w:before="60"/>
      </w:pPr>
      <w:r>
        <w:t xml:space="preserve"/>
      </w:r>
    </w:p>
    <w:p>
      <w:pPr>
        <w:spacing w:after="80" w:before="80"/>
        <w:jc w:val="both"/>
      </w:pPr>
      <w:r>
        <w:rPr>
          <w:rFonts w:ascii="Arial" w:cs="Arial" w:eastAsia="Arial" w:hAnsi="Arial"/>
          <w:b/>
          <w:bCs/>
          <w:color w:val="1F2937"/>
          <w:sz w:val="22"/>
          <w:szCs w:val="22"/>
        </w:rPr>
        <w:t xml:space="preserve">Brooklyn and Belt Parkway require disproportionate investment. </w:t>
      </w:r>
      <w:r>
        <w:rPr>
          <w:rFonts w:ascii="Arial" w:cs="Arial" w:eastAsia="Arial" w:hAnsi="Arial"/>
          <w:color w:val="1F2937"/>
          <w:sz w:val="22"/>
          <w:szCs w:val="22"/>
        </w:rPr>
        <w:t xml:space="preserve">Brooklyn dominates every metric in the analysis. Any city-wide road safety strategy that does not allocate resources disproportionately to Brooklyn is not evidence-based. The Belt Parkway finding is specific and actionable: a single road is generating more crashes than any street in Manhattan. Speed cameras, reduced speed limits, and improved road design on Belt Parkway would have a measurable city-wide impact.</w:t>
      </w:r>
    </w:p>
    <w:p>
      <w:pPr>
        <w:spacing w:after="0" w:before="60"/>
      </w:pPr>
      <w:r>
        <w:t xml:space="preserve"/>
      </w:r>
    </w:p>
    <w:p>
      <w:pPr>
        <w:spacing w:after="80" w:before="80"/>
        <w:jc w:val="both"/>
      </w:pPr>
      <w:r>
        <w:rPr>
          <w:rFonts w:ascii="Arial" w:cs="Arial" w:eastAsia="Arial" w:hAnsi="Arial"/>
          <w:b/>
          <w:bCs/>
          <w:color w:val="1F2937"/>
          <w:sz w:val="22"/>
          <w:szCs w:val="22"/>
        </w:rPr>
        <w:t xml:space="preserve">The Friday 16:00 peak is preventable. </w:t>
      </w:r>
      <w:r>
        <w:rPr>
          <w:rFonts w:ascii="Arial" w:cs="Arial" w:eastAsia="Arial" w:hAnsi="Arial"/>
          <w:color w:val="1F2937"/>
          <w:sz w:val="22"/>
          <w:szCs w:val="22"/>
        </w:rPr>
        <w:t xml:space="preserve">A recurring, predictable spike in collisions on Friday afternoons is by definition preventable. Increased traffic enforcement presence, variable speed limit signage, and commuter awareness campaigns targeted specifically at Friday afternoons could reduce the most consistently dangerous period on NYC roads.</w:t>
      </w:r>
    </w:p>
    <w:p>
      <w:pPr>
        <w:spacing w:after="0" w:before="80"/>
      </w:pPr>
      <w:r>
        <w:t xml:space="preserve"/>
      </w:r>
    </w:p>
    <w:p>
      <w:pPr>
        <w:pBdr>
          <w:bottom w:val="single" w:color="2E75B6" w:sz="4" w:space="2"/>
        </w:pBdr>
        <w:spacing w:after="100" w:before="280"/>
      </w:pPr>
      <w:r>
        <w:rPr>
          <w:rFonts w:ascii="Arial" w:cs="Arial" w:eastAsia="Arial" w:hAnsi="Arial"/>
          <w:b/>
          <w:bCs/>
          <w:color w:val="1F3864"/>
          <w:sz w:val="28"/>
          <w:szCs w:val="28"/>
        </w:rPr>
        <w:t xml:space="preserve">5.2 Limitations</w:t>
      </w:r>
    </w:p>
    <w:p>
      <w:pPr>
        <w:pStyle w:val="ListParagraph"/>
        <w:numPr>
          <w:ilvl w:val="0"/>
          <w:numId w:val="2"/>
        </w:numPr>
        <w:spacing w:after="40" w:before="40"/>
        <w:ind w:left="720" w:hanging="360"/>
      </w:pPr>
      <w:r>
        <w:rPr>
          <w:rFonts w:ascii="Arial" w:cs="Arial" w:eastAsia="Arial" w:hAnsi="Arial"/>
          <w:color w:val="1F2937"/>
          <w:sz w:val="22"/>
          <w:szCs w:val="22"/>
        </w:rPr>
        <w:t xml:space="preserve">The dataset covers January to August 2020 only. It does not include winter driving conditions (November to January) or a full post-lockdown recovery period, meaning seasonal patterns and long-term recovery trends cannot be assessed.</w:t>
      </w:r>
    </w:p>
    <w:p>
      <w:pPr>
        <w:pStyle w:val="ListParagraph"/>
        <w:numPr>
          <w:ilvl w:val="0"/>
          <w:numId w:val="2"/>
        </w:numPr>
        <w:spacing w:after="40" w:before="40"/>
        <w:ind w:left="720" w:hanging="360"/>
      </w:pPr>
      <w:r>
        <w:rPr>
          <w:rFonts w:ascii="Arial" w:cs="Arial" w:eastAsia="Arial" w:hAnsi="Arial"/>
          <w:color w:val="1F2937"/>
          <w:sz w:val="22"/>
          <w:szCs w:val="22"/>
        </w:rPr>
        <w:t xml:space="preserve">34.4% of records have an unassigned borough. Borough-level comparisons are based on 65.6% of the data. This understates the true burden of each assigned borough proportionally.</w:t>
      </w:r>
    </w:p>
    <w:p>
      <w:pPr>
        <w:pStyle w:val="ListParagraph"/>
        <w:numPr>
          <w:ilvl w:val="0"/>
          <w:numId w:val="2"/>
        </w:numPr>
        <w:spacing w:after="40" w:before="40"/>
        <w:ind w:left="720" w:hanging="360"/>
      </w:pPr>
      <w:r>
        <w:rPr>
          <w:rFonts w:ascii="Arial" w:cs="Arial" w:eastAsia="Arial" w:hAnsi="Arial"/>
          <w:color w:val="1F2937"/>
          <w:sz w:val="22"/>
          <w:szCs w:val="22"/>
        </w:rPr>
        <w:t xml:space="preserve">Injury severity is not recorded. All injuries are treated as a single count. A minor whiplash and a life-altering spinal injury appear identically in the data. Severity-weighted analysis would produce materially different policy priorities.</w:t>
      </w:r>
    </w:p>
    <w:p>
      <w:pPr>
        <w:pStyle w:val="ListParagraph"/>
        <w:numPr>
          <w:ilvl w:val="0"/>
          <w:numId w:val="2"/>
        </w:numPr>
        <w:spacing w:after="40" w:before="40"/>
        <w:ind w:left="720" w:hanging="360"/>
      </w:pPr>
      <w:r>
        <w:rPr>
          <w:rFonts w:ascii="Arial" w:cs="Arial" w:eastAsia="Arial" w:hAnsi="Arial"/>
          <w:color w:val="1F2937"/>
          <w:sz w:val="22"/>
          <w:szCs w:val="22"/>
        </w:rPr>
        <w:t xml:space="preserve">26% of records have an Unspecified contributing factor, removed from cause analysis. If these records are not missing at random (for example, if certain crash types are systematically under-reported), the cause analysis may be biased.</w:t>
      </w:r>
    </w:p>
    <w:p>
      <w:pPr>
        <w:pStyle w:val="ListParagraph"/>
        <w:numPr>
          <w:ilvl w:val="0"/>
          <w:numId w:val="2"/>
        </w:numPr>
        <w:spacing w:after="40" w:before="40"/>
        <w:ind w:left="720" w:hanging="360"/>
      </w:pPr>
      <w:r>
        <w:rPr>
          <w:rFonts w:ascii="Arial" w:cs="Arial" w:eastAsia="Arial" w:hAnsi="Arial"/>
          <w:color w:val="1F2937"/>
          <w:sz w:val="22"/>
          <w:szCs w:val="22"/>
        </w:rPr>
        <w:t xml:space="preserve">No weather data is included. Rain, snow, fog, and ice are well-documented crash contributors. Their absence from the dataset means the temporal and geographic patterns identified here conflate weather effects with behavioural and infrastructure effects.</w:t>
      </w:r>
    </w:p>
    <w:p>
      <w:pPr>
        <w:pStyle w:val="ListParagraph"/>
        <w:numPr>
          <w:ilvl w:val="0"/>
          <w:numId w:val="2"/>
        </w:numPr>
        <w:spacing w:after="40" w:before="40"/>
        <w:ind w:left="720" w:hanging="360"/>
      </w:pPr>
      <w:r>
        <w:rPr>
          <w:rFonts w:ascii="Arial" w:cs="Arial" w:eastAsia="Arial" w:hAnsi="Arial"/>
          <w:color w:val="1F2937"/>
          <w:sz w:val="22"/>
          <w:szCs w:val="22"/>
        </w:rPr>
        <w:t xml:space="preserve">The COVID-19 period comparison is observational, not experimental. The lockdown was not designed as a road safety intervention and many confounding factors (reduced policing, changed trip purposes, behaviour changes) prevent a clean causal attribution.</w:t>
      </w:r>
    </w:p>
    <w:p>
      <w:pPr>
        <w:spacing w:after="0" w:before="80"/>
      </w:pPr>
      <w:r>
        <w:t xml:space="preserve"/>
      </w:r>
    </w:p>
    <w:p>
      <w:pPr>
        <w:pBdr>
          <w:bottom w:val="single" w:color="2E75B6" w:sz="4" w:space="2"/>
        </w:pBdr>
        <w:spacing w:after="100" w:before="280"/>
      </w:pPr>
      <w:r>
        <w:rPr>
          <w:rFonts w:ascii="Arial" w:cs="Arial" w:eastAsia="Arial" w:hAnsi="Arial"/>
          <w:b/>
          <w:bCs/>
          <w:color w:val="1F3864"/>
          <w:sz w:val="28"/>
          <w:szCs w:val="28"/>
        </w:rPr>
        <w:t xml:space="preserve">5.3 Suggested Improvements</w:t>
      </w:r>
    </w:p>
    <w:p>
      <w:pPr>
        <w:pStyle w:val="ListParagraph"/>
        <w:numPr>
          <w:ilvl w:val="0"/>
          <w:numId w:val="3"/>
        </w:numPr>
        <w:spacing w:after="40" w:before="40"/>
        <w:ind w:left="720" w:hanging="360"/>
      </w:pPr>
      <w:r>
        <w:rPr>
          <w:rFonts w:ascii="Arial" w:cs="Arial" w:eastAsia="Arial" w:hAnsi="Arial"/>
          <w:color w:val="1F2937"/>
          <w:sz w:val="22"/>
          <w:szCs w:val="22"/>
        </w:rPr>
        <w:t xml:space="preserve">Extend the analysis to cover the full calendar year 2020 and ideally 2018 to 2023, to distinguish COVID-19 effects from long-term trends and incorporate seasonal variation.</w:t>
      </w:r>
    </w:p>
    <w:p>
      <w:pPr>
        <w:pStyle w:val="ListParagraph"/>
        <w:numPr>
          <w:ilvl w:val="0"/>
          <w:numId w:val="3"/>
        </w:numPr>
        <w:spacing w:after="40" w:before="40"/>
        <w:ind w:left="720" w:hanging="360"/>
      </w:pPr>
      <w:r>
        <w:rPr>
          <w:rFonts w:ascii="Arial" w:cs="Arial" w:eastAsia="Arial" w:hAnsi="Arial"/>
          <w:color w:val="1F2937"/>
          <w:sz w:val="22"/>
          <w:szCs w:val="22"/>
        </w:rPr>
        <w:t xml:space="preserve">Integrate weather data from NOAA or a similar source by date and borough to isolate weather-related collision patterns from temporal and behavioural patterns.</w:t>
      </w:r>
    </w:p>
    <w:p>
      <w:pPr>
        <w:pStyle w:val="ListParagraph"/>
        <w:numPr>
          <w:ilvl w:val="0"/>
          <w:numId w:val="3"/>
        </w:numPr>
        <w:spacing w:after="40" w:before="40"/>
        <w:ind w:left="720" w:hanging="360"/>
      </w:pPr>
      <w:r>
        <w:rPr>
          <w:rFonts w:ascii="Arial" w:cs="Arial" w:eastAsia="Arial" w:hAnsi="Arial"/>
          <w:color w:val="1F2937"/>
          <w:sz w:val="22"/>
          <w:szCs w:val="22"/>
        </w:rPr>
        <w:t xml:space="preserve">Normalise borough collision counts by population (collisions per 100,000 residents) to enable a fair comparison. Brooklyn's higher absolute count partly reflects its higher population.</w:t>
      </w:r>
    </w:p>
    <w:p>
      <w:pPr>
        <w:pStyle w:val="ListParagraph"/>
        <w:numPr>
          <w:ilvl w:val="0"/>
          <w:numId w:val="3"/>
        </w:numPr>
        <w:spacing w:after="40" w:before="40"/>
        <w:ind w:left="720" w:hanging="360"/>
      </w:pPr>
      <w:r>
        <w:rPr>
          <w:rFonts w:ascii="Arial" w:cs="Arial" w:eastAsia="Arial" w:hAnsi="Arial"/>
          <w:color w:val="1F2937"/>
          <w:sz w:val="22"/>
          <w:szCs w:val="22"/>
        </w:rPr>
        <w:t xml:space="preserve">Source an updated version of the NYPD dataset that includes injury severity classification to enable severity-weighted analysis.</w:t>
      </w:r>
    </w:p>
    <w:p>
      <w:pPr>
        <w:pStyle w:val="ListParagraph"/>
        <w:numPr>
          <w:ilvl w:val="0"/>
          <w:numId w:val="3"/>
        </w:numPr>
        <w:spacing w:after="40" w:before="40"/>
        <w:ind w:left="720" w:hanging="360"/>
      </w:pPr>
      <w:r>
        <w:rPr>
          <w:rFonts w:ascii="Arial" w:cs="Arial" w:eastAsia="Arial" w:hAnsi="Arial"/>
          <w:color w:val="1F2937"/>
          <w:sz w:val="22"/>
          <w:szCs w:val="22"/>
        </w:rPr>
        <w:t xml:space="preserve">Build a predictive model using hour, day of week, borough, weather condition, and period as features to forecast high-risk time windows, which could support dynamic enforcement resource allocation.</w:t>
      </w:r>
    </w:p>
    <w:p>
      <w:pPr>
        <w:pStyle w:val="ListParagraph"/>
        <w:numPr>
          <w:ilvl w:val="0"/>
          <w:numId w:val="3"/>
        </w:numPr>
        <w:spacing w:after="40" w:before="40"/>
        <w:ind w:left="720" w:hanging="360"/>
      </w:pPr>
      <w:r>
        <w:rPr>
          <w:rFonts w:ascii="Arial" w:cs="Arial" w:eastAsia="Arial" w:hAnsi="Arial"/>
          <w:color w:val="1F2937"/>
          <w:sz w:val="22"/>
          <w:szCs w:val="22"/>
        </w:rPr>
        <w:t xml:space="preserve">Investigate the 25,741 unassigned borough records using alternative geocoding to recover borough assignment where possible, improving the completeness of the borough analysis.</w:t>
      </w:r>
    </w:p>
    <w:p>
      <w:pPr>
        <w:pBdr>
          <w:bottom w:val="single" w:color="CCCCCC" w:sz="2" w:space="1"/>
        </w:pBdr>
        <w:spacing w:after="160" w:before="160"/>
      </w:pPr>
      <w:r>
        <w:t xml:space="preserve"/>
      </w:r>
    </w:p>
    <w:p>
      <w:pPr>
        <w:pStyle w:val="Heading1"/>
        <w:shd w:fill="1F3864" w:val="clear"/>
        <w:spacing w:after="120" w:before="360"/>
        <w:ind w:left="240" w:right="240"/>
      </w:pPr>
      <w:r>
        <w:rPr>
          <w:rFonts w:ascii="Arial" w:cs="Arial" w:eastAsia="Arial" w:hAnsi="Arial"/>
          <w:b/>
          <w:bCs/>
          <w:color w:val="FFFFFF"/>
          <w:sz w:val="36"/>
          <w:szCs w:val="36"/>
        </w:rPr>
        <w:t xml:space="preserve">6. Conclusion</w:t>
      </w:r>
    </w:p>
    <w:p>
      <w:pPr>
        <w:spacing w:after="0" w:before="80"/>
      </w:pPr>
      <w:r>
        <w:t xml:space="preserve"/>
      </w:r>
    </w:p>
    <w:p>
      <w:pPr>
        <w:spacing w:after="80" w:before="80"/>
        <w:jc w:val="both"/>
      </w:pPr>
      <w:r>
        <w:rPr>
          <w:rFonts w:ascii="Arial" w:cs="Arial" w:eastAsia="Arial" w:hAnsi="Arial"/>
          <w:color w:val="1F2937"/>
          <w:sz w:val="22"/>
          <w:szCs w:val="22"/>
        </w:rPr>
        <w:t xml:space="preserve">This analysis of 74,881 NYC motor vehicle collisions from January to August 2020 produced seven key findings with direct implications for road safety policy:</w:t>
      </w:r>
    </w:p>
    <w:p>
      <w:pPr>
        <w:spacing w:after="0" w:before="80"/>
      </w:pPr>
      <w:r>
        <w:t xml:space="preserve"/>
      </w:r>
    </w:p>
    <w:tbl>
      <w:tblPr>
        <w:tblW w:type="dxa" w:w="9720"/>
        <w:tblBorders>
          <w:top w:val="single" w:color="auto" w:sz="4"/>
          <w:start w:val="single" w:color="auto" w:sz="4"/>
          <w:bottom w:val="single" w:color="auto" w:sz="4"/>
          <w:end w:val="single" w:color="auto" w:sz="4"/>
          <w:insideH w:val="single" w:color="auto" w:sz="4"/>
          <w:insideV w:val="single" w:color="auto" w:sz="4"/>
        </w:tblBorders>
      </w:tblPr>
      <w:tblGrid>
        <w:gridCol w:w="600"/>
        <w:gridCol w:w="9120"/>
      </w:tblGrid>
      <w:tr>
        <w:tc>
          <w:tcPr>
            <w:tcW w:type="dxa" w:w="600"/>
            <w:tcBorders>
              <w:top w:val="none" w:color="FFFFFF" w:sz="0"/>
              <w:start w:val="none" w:color="FFFFFF" w:sz="0"/>
              <w:bottom w:val="none" w:color="FFFFFF" w:sz="0"/>
              <w:end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9120"/>
            <w:tcBorders>
              <w:top w:val="none" w:color="FFFFFF" w:sz="0"/>
              <w:start w:val="none" w:color="FFFFFF" w:sz="0"/>
              <w:bottom w:val="none" w:color="FFFFFF" w:sz="0"/>
              <w:end w:val="none" w:color="FFFFFF" w:sz="0"/>
            </w:tcBorders>
            <w:shd w:fill="F0F6FC" w:val="clear"/>
            <w:tcMar>
              <w:top w:type="dxa" w:w="120"/>
              <w:left w:type="dxa" w:w="200"/>
              <w:bottom w:type="dxa" w:w="120"/>
              <w:right w:type="dxa" w:w="120"/>
            </w:tcMar>
          </w:tcPr>
          <w:p>
            <w:r>
              <w:rPr>
                <w:rFonts w:ascii="Arial" w:cs="Arial" w:eastAsia="Arial" w:hAnsi="Arial"/>
                <w:b/>
                <w:bCs/>
                <w:color w:val="1F3864"/>
                <w:sz w:val="22"/>
                <w:szCs w:val="22"/>
              </w:rPr>
              <w:t xml:space="preserve">COVID-19 reduced crashes by 70% almost immediately</w:t>
            </w:r>
          </w:p>
          <w:p>
            <w:r>
              <w:rPr>
                <w:rFonts w:ascii="Arial" w:cs="Arial" w:eastAsia="Arial" w:hAnsi="Arial"/>
                <w:color w:val="1F2937"/>
                <w:sz w:val="20"/>
                <w:szCs w:val="20"/>
              </w:rPr>
              <w:t xml:space="preserve">The lockdown demonstrated that traffic volume is the single strongest predictor of collision frequency. A two-week 70% drop in vehicles produced a 70% drop in crashes, with no policy, campaign, or infrastructure change involved.</w:t>
            </w:r>
          </w:p>
        </w:tc>
      </w:tr>
      <w:tr>
        <w:tc>
          <w:tcPr>
            <w:tcW w:type="dxa" w:w="600"/>
            <w:tcBorders>
              <w:top w:val="none" w:color="FFFFFF" w:sz="0"/>
              <w:start w:val="none" w:color="FFFFFF" w:sz="0"/>
              <w:bottom w:val="none" w:color="FFFFFF" w:sz="0"/>
              <w:end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9120"/>
            <w:tcBorders>
              <w:top w:val="none" w:color="FFFFFF" w:sz="0"/>
              <w:start w:val="none" w:color="FFFFFF" w:sz="0"/>
              <w:bottom w:val="none" w:color="FFFFFF" w:sz="0"/>
              <w:end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Friday at 16:00 is the most dangerous period on NYC roads</w:t>
            </w:r>
          </w:p>
          <w:p>
            <w:r>
              <w:rPr>
                <w:rFonts w:ascii="Arial" w:cs="Arial" w:eastAsia="Arial" w:hAnsi="Arial"/>
                <w:color w:val="1F2937"/>
                <w:sz w:val="20"/>
                <w:szCs w:val="20"/>
              </w:rPr>
              <w:t xml:space="preserve">This is a consistent, predictable, and therefore preventable peak. Targeted enforcement and commuter awareness campaigns on Friday afternoons could produce measurable reductions.</w:t>
            </w:r>
          </w:p>
        </w:tc>
      </w:tr>
      <w:tr>
        <w:tc>
          <w:tcPr>
            <w:tcW w:type="dxa" w:w="600"/>
            <w:tcBorders>
              <w:top w:val="none" w:color="FFFFFF" w:sz="0"/>
              <w:start w:val="none" w:color="FFFFFF" w:sz="0"/>
              <w:bottom w:val="none" w:color="FFFFFF" w:sz="0"/>
              <w:end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9120"/>
            <w:tcBorders>
              <w:top w:val="none" w:color="FFFFFF" w:sz="0"/>
              <w:start w:val="none" w:color="FFFFFF" w:sz="0"/>
              <w:bottom w:val="none" w:color="FFFFFF" w:sz="0"/>
              <w:end w:val="none" w:color="FFFFFF" w:sz="0"/>
            </w:tcBorders>
            <w:shd w:fill="F0F6FC" w:val="clear"/>
            <w:tcMar>
              <w:top w:type="dxa" w:w="120"/>
              <w:left w:type="dxa" w:w="200"/>
              <w:bottom w:type="dxa" w:w="120"/>
              <w:right w:type="dxa" w:w="120"/>
            </w:tcMar>
          </w:tcPr>
          <w:p>
            <w:r>
              <w:rPr>
                <w:rFonts w:ascii="Arial" w:cs="Arial" w:eastAsia="Arial" w:hAnsi="Arial"/>
                <w:b/>
                <w:bCs/>
                <w:color w:val="1F3864"/>
                <w:sz w:val="22"/>
                <w:szCs w:val="22"/>
              </w:rPr>
              <w:t xml:space="preserve">Distraction causes crashes. Speed causes deaths.</w:t>
            </w:r>
          </w:p>
          <w:p>
            <w:r>
              <w:rPr>
                <w:rFonts w:ascii="Arial" w:cs="Arial" w:eastAsia="Arial" w:hAnsi="Arial"/>
                <w:color w:val="1F2937"/>
                <w:sz w:val="20"/>
                <w:szCs w:val="20"/>
              </w:rPr>
              <w:t xml:space="preserve">These are two different problems requiring two different interventions. A road safety strategy that targets only one will fail to address the other.</w:t>
            </w:r>
          </w:p>
        </w:tc>
      </w:tr>
      <w:tr>
        <w:tc>
          <w:tcPr>
            <w:tcW w:type="dxa" w:w="600"/>
            <w:tcBorders>
              <w:top w:val="none" w:color="FFFFFF" w:sz="0"/>
              <w:start w:val="none" w:color="FFFFFF" w:sz="0"/>
              <w:bottom w:val="none" w:color="FFFFFF" w:sz="0"/>
              <w:end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9120"/>
            <w:tcBorders>
              <w:top w:val="none" w:color="FFFFFF" w:sz="0"/>
              <w:start w:val="none" w:color="FFFFFF" w:sz="0"/>
              <w:bottom w:val="none" w:color="FFFFFF" w:sz="0"/>
              <w:end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Belt Parkway is NYC's most dangerous road</w:t>
            </w:r>
          </w:p>
          <w:p>
            <w:r>
              <w:rPr>
                <w:rFonts w:ascii="Arial" w:cs="Arial" w:eastAsia="Arial" w:hAnsi="Arial"/>
                <w:color w:val="1F2937"/>
                <w:sz w:val="20"/>
                <w:szCs w:val="20"/>
              </w:rPr>
              <w:t xml:space="preserve">More crashes than any street in Manhattan or any surface road in Brooklyn. A single infrastructure intervention here would have a material city-wide impact.</w:t>
            </w:r>
          </w:p>
        </w:tc>
      </w:tr>
      <w:tr>
        <w:tc>
          <w:tcPr>
            <w:tcW w:type="dxa" w:w="600"/>
            <w:tcBorders>
              <w:top w:val="none" w:color="FFFFFF" w:sz="0"/>
              <w:start w:val="none" w:color="FFFFFF" w:sz="0"/>
              <w:bottom w:val="none" w:color="FFFFFF" w:sz="0"/>
              <w:end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9120"/>
            <w:tcBorders>
              <w:top w:val="none" w:color="FFFFFF" w:sz="0"/>
              <w:start w:val="none" w:color="FFFFFF" w:sz="0"/>
              <w:bottom w:val="none" w:color="FFFFFF" w:sz="0"/>
              <w:end w:val="none" w:color="FFFFFF" w:sz="0"/>
            </w:tcBorders>
            <w:shd w:fill="F0F6FC" w:val="clear"/>
            <w:tcMar>
              <w:top w:type="dxa" w:w="120"/>
              <w:left w:type="dxa" w:w="200"/>
              <w:bottom w:type="dxa" w:w="120"/>
              <w:right w:type="dxa" w:w="120"/>
            </w:tcMar>
          </w:tcPr>
          <w:p>
            <w:r>
              <w:rPr>
                <w:rFonts w:ascii="Arial" w:cs="Arial" w:eastAsia="Arial" w:hAnsi="Arial"/>
                <w:b/>
                <w:bCs/>
                <w:color w:val="1F3864"/>
                <w:sz w:val="22"/>
                <w:szCs w:val="22"/>
              </w:rPr>
              <w:t xml:space="preserve">82% of crash vehicles are Sedans or SUVs</w:t>
            </w:r>
          </w:p>
          <w:p>
            <w:r>
              <w:rPr>
                <w:rFonts w:ascii="Arial" w:cs="Arial" w:eastAsia="Arial" w:hAnsi="Arial"/>
                <w:color w:val="1F2937"/>
                <w:sz w:val="20"/>
                <w:szCs w:val="20"/>
              </w:rPr>
              <w:t xml:space="preserve">Private passenger vehicles are the primary road safety risk in NYC, reflecting the composition of the vehicle fleet.</w:t>
            </w:r>
          </w:p>
        </w:tc>
      </w:tr>
      <w:tr>
        <w:tc>
          <w:tcPr>
            <w:tcW w:type="dxa" w:w="600"/>
            <w:tcBorders>
              <w:top w:val="none" w:color="FFFFFF" w:sz="0"/>
              <w:start w:val="none" w:color="FFFFFF" w:sz="0"/>
              <w:bottom w:val="none" w:color="FFFFFF" w:sz="0"/>
              <w:end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6</w:t>
            </w:r>
          </w:p>
        </w:tc>
        <w:tc>
          <w:tcPr>
            <w:tcW w:type="dxa" w:w="9120"/>
            <w:tcBorders>
              <w:top w:val="none" w:color="FFFFFF" w:sz="0"/>
              <w:start w:val="none" w:color="FFFFFF" w:sz="0"/>
              <w:bottom w:val="none" w:color="FFFFFF" w:sz="0"/>
              <w:end w:val="none" w:color="FFFFFF" w:sz="0"/>
            </w:tcBorders>
            <w:shd w:fill="D6E4F0" w:val="clear"/>
            <w:tcMar>
              <w:top w:type="dxa" w:w="120"/>
              <w:left w:type="dxa" w:w="200"/>
              <w:bottom w:type="dxa" w:w="120"/>
              <w:right w:type="dxa" w:w="120"/>
            </w:tcMar>
          </w:tcPr>
          <w:p>
            <w:r>
              <w:rPr>
                <w:rFonts w:ascii="Arial" w:cs="Arial" w:eastAsia="Arial" w:hAnsi="Arial"/>
                <w:b/>
                <w:bCs/>
                <w:color w:val="1F3864"/>
                <w:sz w:val="22"/>
                <w:szCs w:val="22"/>
              </w:rPr>
              <w:t xml:space="preserve">Cyclists face their highest risk at 17:00</w:t>
            </w:r>
          </w:p>
          <w:p>
            <w:r>
              <w:rPr>
                <w:rFonts w:ascii="Arial" w:cs="Arial" w:eastAsia="Arial" w:hAnsi="Arial"/>
                <w:color w:val="1F2937"/>
                <w:sz w:val="20"/>
                <w:szCs w:val="20"/>
              </w:rPr>
              <w:t xml:space="preserve">A concentrated one-hour window of elevated cyclist danger that could be addressed with targeted infrastructure during the evening commute peak.</w:t>
            </w:r>
          </w:p>
        </w:tc>
      </w:tr>
      <w:tr>
        <w:tc>
          <w:tcPr>
            <w:tcW w:type="dxa" w:w="600"/>
            <w:tcBorders>
              <w:top w:val="none" w:color="FFFFFF" w:sz="0"/>
              <w:start w:val="none" w:color="FFFFFF" w:sz="0"/>
              <w:bottom w:val="none" w:color="FFFFFF" w:sz="0"/>
              <w:end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7</w:t>
            </w:r>
          </w:p>
        </w:tc>
        <w:tc>
          <w:tcPr>
            <w:tcW w:type="dxa" w:w="9120"/>
            <w:tcBorders>
              <w:top w:val="none" w:color="FFFFFF" w:sz="0"/>
              <w:start w:val="none" w:color="FFFFFF" w:sz="0"/>
              <w:bottom w:val="none" w:color="FFFFFF" w:sz="0"/>
              <w:end w:val="none" w:color="FFFFFF" w:sz="0"/>
            </w:tcBorders>
            <w:shd w:fill="F0F6FC" w:val="clear"/>
            <w:tcMar>
              <w:top w:type="dxa" w:w="120"/>
              <w:left w:type="dxa" w:w="200"/>
              <w:bottom w:type="dxa" w:w="120"/>
              <w:right w:type="dxa" w:w="120"/>
            </w:tcMar>
          </w:tcPr>
          <w:p>
            <w:r>
              <w:rPr>
                <w:rFonts w:ascii="Arial" w:cs="Arial" w:eastAsia="Arial" w:hAnsi="Arial"/>
                <w:b/>
                <w:bCs/>
                <w:color w:val="1F3864"/>
                <w:sz w:val="22"/>
                <w:szCs w:val="22"/>
              </w:rPr>
              <w:t xml:space="preserve">Pedestrian fatality proportion increased during lockdown despite fewer crashes</w:t>
            </w:r>
          </w:p>
          <w:p>
            <w:r>
              <w:rPr>
                <w:rFonts w:ascii="Arial" w:cs="Arial" w:eastAsia="Arial" w:hAnsi="Arial"/>
                <w:color w:val="1F2937"/>
                <w:sz w:val="20"/>
                <w:szCs w:val="20"/>
              </w:rPr>
              <w:t xml:space="preserve">Fewer cars at higher speeds is more dangerous for pedestrians than more cars at lower speeds. Speed management must accompany any traffic volume reduction policy.</w:t>
            </w:r>
          </w:p>
        </w:tc>
      </w:tr>
    </w:tbl>
    <w:p>
      <w:pPr>
        <w:spacing w:after="0" w:before="120"/>
      </w:pPr>
      <w:r>
        <w:t xml:space="preserve"/>
      </w:r>
    </w:p>
    <w:p>
      <w:pPr>
        <w:spacing w:after="80" w:before="80"/>
        <w:jc w:val="both"/>
      </w:pPr>
      <w:r>
        <w:rPr>
          <w:rFonts w:ascii="Arial" w:cs="Arial" w:eastAsia="Arial" w:hAnsi="Arial"/>
          <w:color w:val="1F2937"/>
          <w:sz w:val="22"/>
          <w:szCs w:val="22"/>
        </w:rPr>
        <w:t xml:space="preserve">Road safety data is only actionable when it is specific enough to inform targeted decisions. This analysis demonstrates that NYC collisions are not random events. They cluster on specific days, at specific times, on specific roads, and they respond immediately and dramatically to changes in traffic volume. That predictability is the city's most powerful tool for reducing harm on its roads.</w:t>
      </w:r>
    </w:p>
    <w:p>
      <w:pPr>
        <w:spacing w:after="0" w:before="80"/>
      </w:pPr>
      <w:r>
        <w:t xml:space="preserve"/>
      </w:r>
    </w:p>
    <w:p>
      <w:pPr>
        <w:shd w:fill="E8F4FD" w:val="clear"/>
        <w:spacing w:after="120" w:before="120"/>
        <w:ind w:left="360" w:right="360"/>
      </w:pPr>
      <w:r>
        <w:rPr>
          <w:rFonts w:ascii="Arial" w:cs="Arial" w:eastAsia="Arial" w:hAnsi="Arial"/>
          <w:b/>
          <w:bCs/>
          <w:color w:val="2E75B6"/>
          <w:sz w:val="22"/>
          <w:szCs w:val="22"/>
        </w:rPr>
        <w:t xml:space="preserve">For Recruiters and Reviewers: </w:t>
      </w:r>
      <w:r>
        <w:rPr>
          <w:rFonts w:ascii="Arial" w:cs="Arial" w:eastAsia="Arial" w:hAnsi="Arial"/>
          <w:color w:val="1F2937"/>
          <w:sz w:val="22"/>
          <w:szCs w:val="22"/>
        </w:rPr>
        <w:t xml:space="preserve">This project was built entirely in Microsoft Power BI Desktop using DAX measures, ArcGIS mapping, conditional formatting heatmaps, and interactive cross-filtering across a five-page dashboard. The dataset (74,881 records) was sourced from NYC OpenData. Full documentation and dashboard file are available on GitHub.</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888888"/>
        <w:sz w:val="18"/>
        <w:szCs w:val="18"/>
      </w:rPr>
      <w:t xml:space="preserve">NYC Motor Vehicle Collisions 2020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2026-07-20T18:55:33.589Z</dcterms:created>
  <dcterms:modified xsi:type="dcterms:W3CDTF">2026-07-20T18:55:33.602Z</dcterms:modified>
</cp:coreProperties>
</file>

<file path=docProps/custom.xml><?xml version="1.0" encoding="utf-8"?>
<Properties xmlns="http://schemas.openxmlformats.org/officeDocument/2006/custom-properties" xmlns:vt="http://schemas.openxmlformats.org/officeDocument/2006/docPropsVTypes"/>
</file>