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hd w:fill="1F3864" w:val="clear"/>
        <w:spacing w:after="40" w:before="0"/>
        <w:jc w:val="center"/>
      </w:pPr>
      <w:r>
        <w:rPr>
          <w:rFonts w:ascii="Arial" w:cs="Arial" w:eastAsia="Arial" w:hAnsi="Arial"/>
          <w:b/>
          <w:bCs/>
          <w:color w:val="FFFFFF"/>
          <w:sz w:val="52"/>
          <w:szCs w:val="52"/>
        </w:rPr>
        <w:t xml:space="preserve">RETAIL SALES ANALYSIS</w:t>
      </w:r>
    </w:p>
    <w:p>
      <w:pPr>
        <w:shd w:fill="1F3864" w:val="clear"/>
        <w:spacing w:after="40" w:before="0"/>
        <w:jc w:val="center"/>
      </w:pPr>
      <w:r>
        <w:rPr>
          <w:rFonts w:ascii="Arial" w:cs="Arial" w:eastAsia="Arial" w:hAnsi="Arial"/>
          <w:color w:val="B8D4F0"/>
          <w:sz w:val="32"/>
          <w:szCs w:val="32"/>
        </w:rPr>
        <w:t xml:space="preserve">Technical Documentation</w:t>
      </w:r>
    </w:p>
    <w:p>
      <w:pPr>
        <w:shd w:fill="1F3864" w:val="clear"/>
        <w:spacing w:after="60" w:before="0"/>
        <w:jc w:val="center"/>
      </w:pPr>
      <w:r>
        <w:rPr>
          <w:rFonts w:ascii="Arial" w:cs="Arial" w:eastAsia="Arial" w:hAnsi="Arial"/>
          <w:color w:val="B8D4F0"/>
          <w:sz w:val="20"/>
          <w:szCs w:val="20"/>
        </w:rPr>
        <w:t xml:space="preserve">January 2009 to December 2012 | 1,482 Orders | United States</w:t>
      </w:r>
    </w:p>
    <w:p>
      <w:pPr>
        <w:spacing w:after="0" w:before="8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30"/>
        <w:gridCol w:w="2430"/>
        <w:gridCol w:w="2430"/>
        <w:gridCol w:w="2430"/>
      </w:tblGrid>
      <w:tr>
        <w:tc>
          <w:tcPr>
            <w:tcW w:type="dxa" w:w="243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vAlign w:val="center"/>
          </w:tcPr>
          <w:p>
            <w:pPr>
              <w:jc w:val="center"/>
            </w:pPr>
            <w:r>
              <w:rPr>
                <w:rFonts w:ascii="Arial" w:cs="Arial" w:eastAsia="Arial" w:hAnsi="Arial"/>
                <w:b/>
                <w:bCs/>
                <w:color w:val="2E75B6"/>
                <w:sz w:val="32"/>
                <w:szCs w:val="32"/>
              </w:rPr>
              <w:t xml:space="preserve">$2.63M</w:t>
            </w:r>
          </w:p>
          <w:p>
            <w:pPr>
              <w:jc w:val="center"/>
            </w:pPr>
            <w:r>
              <w:rPr>
                <w:rFonts w:ascii="Arial" w:cs="Arial" w:eastAsia="Arial" w:hAnsi="Arial"/>
                <w:color w:val="555555"/>
                <w:sz w:val="18"/>
                <w:szCs w:val="18"/>
              </w:rPr>
              <w:t xml:space="preserve">Total Sales</w:t>
            </w:r>
          </w:p>
        </w:tc>
        <w:tc>
          <w:tcPr>
            <w:tcW w:type="dxa" w:w="243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vAlign w:val="center"/>
          </w:tcPr>
          <w:p>
            <w:pPr>
              <w:jc w:val="center"/>
            </w:pPr>
            <w:r>
              <w:rPr>
                <w:rFonts w:ascii="Arial" w:cs="Arial" w:eastAsia="Arial" w:hAnsi="Arial"/>
                <w:b/>
                <w:bCs/>
                <w:color w:val="1A7A4A"/>
                <w:sz w:val="32"/>
                <w:szCs w:val="32"/>
              </w:rPr>
              <w:t xml:space="preserve">$287.2K</w:t>
            </w:r>
          </w:p>
          <w:p>
            <w:pPr>
              <w:jc w:val="center"/>
            </w:pPr>
            <w:r>
              <w:rPr>
                <w:rFonts w:ascii="Arial" w:cs="Arial" w:eastAsia="Arial" w:hAnsi="Arial"/>
                <w:color w:val="555555"/>
                <w:sz w:val="18"/>
                <w:szCs w:val="18"/>
              </w:rPr>
              <w:t xml:space="preserve">Total Profit</w:t>
            </w:r>
          </w:p>
        </w:tc>
        <w:tc>
          <w:tcPr>
            <w:tcW w:type="dxa" w:w="243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vAlign w:val="center"/>
          </w:tcPr>
          <w:p>
            <w:pPr>
              <w:jc w:val="center"/>
            </w:pPr>
            <w:r>
              <w:rPr>
                <w:rFonts w:ascii="Arial" w:cs="Arial" w:eastAsia="Arial" w:hAnsi="Arial"/>
                <w:b/>
                <w:bCs/>
                <w:color w:val="E67E22"/>
                <w:sz w:val="32"/>
                <w:szCs w:val="32"/>
              </w:rPr>
              <w:t xml:space="preserve">10.19%</w:t>
            </w:r>
          </w:p>
          <w:p>
            <w:pPr>
              <w:jc w:val="center"/>
            </w:pPr>
            <w:r>
              <w:rPr>
                <w:rFonts w:ascii="Arial" w:cs="Arial" w:eastAsia="Arial" w:hAnsi="Arial"/>
                <w:color w:val="555555"/>
                <w:sz w:val="18"/>
                <w:szCs w:val="18"/>
              </w:rPr>
              <w:t xml:space="preserve">Profit Margin</w:t>
            </w:r>
          </w:p>
        </w:tc>
        <w:tc>
          <w:tcPr>
            <w:tcW w:type="dxa" w:w="243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vAlign w:val="center"/>
          </w:tcPr>
          <w:p>
            <w:pPr>
              <w:jc w:val="center"/>
            </w:pPr>
            <w:r>
              <w:rPr>
                <w:rFonts w:ascii="Arial" w:cs="Arial" w:eastAsia="Arial" w:hAnsi="Arial"/>
                <w:b/>
                <w:bCs/>
                <w:color w:val="1F3864"/>
                <w:sz w:val="32"/>
                <w:szCs w:val="32"/>
              </w:rPr>
              <w:t xml:space="preserve">1,482</w:t>
            </w:r>
          </w:p>
          <w:p>
            <w:pPr>
              <w:jc w:val="center"/>
            </w:pPr>
            <w:r>
              <w:rPr>
                <w:rFonts w:ascii="Arial" w:cs="Arial" w:eastAsia="Arial" w:hAnsi="Arial"/>
                <w:color w:val="555555"/>
                <w:sz w:val="18"/>
                <w:szCs w:val="18"/>
              </w:rPr>
              <w:t xml:space="preserve">Orders Analysed</w:t>
            </w:r>
          </w:p>
        </w:tc>
      </w:tr>
    </w:tbl>
    <w:p>
      <w:pPr>
        <w:spacing w:after="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1. Introduction</w:t>
      </w:r>
    </w:p>
    <w:p>
      <w:pPr>
        <w:spacing w:after="0" w:before="80"/>
      </w:pPr>
      <w:r>
        <w:t xml:space="preserve"/>
      </w:r>
    </w:p>
    <w:p>
      <w:pPr>
        <w:spacing w:after="80" w:before="80"/>
        <w:jc w:val="both"/>
      </w:pPr>
      <w:r>
        <w:rPr>
          <w:rFonts w:ascii="Arial" w:cs="Arial" w:eastAsia="Arial" w:hAnsi="Arial"/>
          <w:color w:val="1F2937"/>
          <w:sz w:val="22"/>
          <w:szCs w:val="22"/>
        </w:rPr>
        <w:t xml:space="preserve">This document presents a full technical analysis of a retail sales dataset covering orders placed between January 2009 and December 2012 across the United States. The project was completed end-to-end in Microsoft Excel, progressing from raw data ingestion and cleaning through to statistical analysis, pattern detection, and an interactive dashboard.</w:t>
      </w:r>
    </w:p>
    <w:p>
      <w:pPr>
        <w:spacing w:after="0" w:before="60"/>
      </w:pPr>
      <w:r>
        <w:t xml:space="preserve"/>
      </w:r>
    </w:p>
    <w:p>
      <w:pPr>
        <w:spacing w:after="80" w:before="80"/>
        <w:jc w:val="both"/>
      </w:pPr>
      <w:r>
        <w:rPr>
          <w:rFonts w:ascii="Arial" w:cs="Arial" w:eastAsia="Arial" w:hAnsi="Arial"/>
          <w:color w:val="1F2937"/>
          <w:sz w:val="22"/>
          <w:szCs w:val="22"/>
        </w:rPr>
        <w:t xml:space="preserve">The objective of the analysis is to uncover actionable business insights from transactional sales data. Specifically, the project aims to:</w:t>
      </w:r>
    </w:p>
    <w:p>
      <w:pPr>
        <w:pStyle w:val="ListParagraph"/>
        <w:numPr>
          <w:ilvl w:val="0"/>
          <w:numId w:val="2"/>
        </w:numPr>
        <w:spacing w:after="40" w:before="40"/>
        <w:ind w:left="720" w:hanging="360"/>
      </w:pPr>
      <w:r>
        <w:rPr>
          <w:rFonts w:ascii="Arial" w:cs="Arial" w:eastAsia="Arial" w:hAnsi="Arial"/>
          <w:color w:val="1F2937"/>
          <w:sz w:val="22"/>
          <w:szCs w:val="22"/>
        </w:rPr>
        <w:t xml:space="preserve">Identify which product categories, regions, and customer segments generate the most revenue and profit.</w:t>
      </w:r>
    </w:p>
    <w:p>
      <w:pPr>
        <w:pStyle w:val="ListParagraph"/>
        <w:numPr>
          <w:ilvl w:val="0"/>
          <w:numId w:val="2"/>
        </w:numPr>
        <w:spacing w:after="40" w:before="40"/>
        <w:ind w:left="720" w:hanging="360"/>
      </w:pPr>
      <w:r>
        <w:rPr>
          <w:rFonts w:ascii="Arial" w:cs="Arial" w:eastAsia="Arial" w:hAnsi="Arial"/>
          <w:color w:val="1F2937"/>
          <w:sz w:val="22"/>
          <w:szCs w:val="22"/>
        </w:rPr>
        <w:t xml:space="preserve">Determine whether discount levels are associated with reduced profitability.</w:t>
      </w:r>
    </w:p>
    <w:p>
      <w:pPr>
        <w:pStyle w:val="ListParagraph"/>
        <w:numPr>
          <w:ilvl w:val="0"/>
          <w:numId w:val="2"/>
        </w:numPr>
        <w:spacing w:after="40" w:before="40"/>
        <w:ind w:left="720" w:hanging="360"/>
      </w:pPr>
      <w:r>
        <w:rPr>
          <w:rFonts w:ascii="Arial" w:cs="Arial" w:eastAsia="Arial" w:hAnsi="Arial"/>
          <w:color w:val="1F2937"/>
          <w:sz w:val="22"/>
          <w:szCs w:val="22"/>
        </w:rPr>
        <w:t xml:space="preserve">Detect anomalous orders that fall outside expected sales ranges.</w:t>
      </w:r>
    </w:p>
    <w:p>
      <w:pPr>
        <w:pStyle w:val="ListParagraph"/>
        <w:numPr>
          <w:ilvl w:val="0"/>
          <w:numId w:val="2"/>
        </w:numPr>
        <w:spacing w:after="40" w:before="40"/>
        <w:ind w:left="720" w:hanging="360"/>
      </w:pPr>
      <w:r>
        <w:rPr>
          <w:rFonts w:ascii="Arial" w:cs="Arial" w:eastAsia="Arial" w:hAnsi="Arial"/>
          <w:color w:val="1F2937"/>
          <w:sz w:val="22"/>
          <w:szCs w:val="22"/>
        </w:rPr>
        <w:t xml:space="preserve">Understand shipping performance relative to delivery targets.</w:t>
      </w:r>
    </w:p>
    <w:p>
      <w:pPr>
        <w:pStyle w:val="ListParagraph"/>
        <w:numPr>
          <w:ilvl w:val="0"/>
          <w:numId w:val="2"/>
        </w:numPr>
        <w:spacing w:after="40" w:before="40"/>
        <w:ind w:left="720" w:hanging="360"/>
      </w:pPr>
      <w:r>
        <w:rPr>
          <w:rFonts w:ascii="Arial" w:cs="Arial" w:eastAsia="Arial" w:hAnsi="Arial"/>
          <w:color w:val="1F2937"/>
          <w:sz w:val="22"/>
          <w:szCs w:val="22"/>
        </w:rPr>
        <w:t xml:space="preserve">Provide a repeatable, formula-driven framework that can be updated as new data becomes available.</w:t>
      </w:r>
    </w:p>
    <w:p>
      <w:pPr>
        <w:spacing w:after="0" w:before="80"/>
      </w:pPr>
      <w:r>
        <w:t xml:space="preserve"/>
      </w:r>
    </w:p>
    <w:p>
      <w:pPr>
        <w:shd w:fill="E8F4FD" w:val="clear"/>
        <w:spacing w:after="120" w:before="120"/>
        <w:ind w:left="360" w:right="360"/>
      </w:pPr>
      <w:r>
        <w:rPr>
          <w:rFonts w:ascii="Arial" w:cs="Arial" w:eastAsia="Arial" w:hAnsi="Arial"/>
          <w:b/>
          <w:bCs/>
          <w:color w:val="2E75B6"/>
          <w:sz w:val="22"/>
          <w:szCs w:val="22"/>
        </w:rPr>
        <w:t xml:space="preserve">Why This Matters: </w:t>
      </w:r>
      <w:r>
        <w:rPr>
          <w:rFonts w:ascii="Arial" w:cs="Arial" w:eastAsia="Arial" w:hAnsi="Arial"/>
          <w:color w:val="1F2937"/>
          <w:sz w:val="22"/>
          <w:szCs w:val="22"/>
        </w:rPr>
        <w:t xml:space="preserve">Retail businesses routinely operate on thin margins. A 1 to 2 percentage point shift in net margin can be the difference between a profitable and unprofitable year. This analysis provides the visibility needed to make targeted, evidence-based decisions rather than relying on intuition.</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2. Data Description</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2.1 Data Source and Format</w:t>
      </w:r>
    </w:p>
    <w:p>
      <w:pPr>
        <w:spacing w:after="80" w:before="80"/>
        <w:jc w:val="both"/>
      </w:pPr>
      <w:r>
        <w:rPr>
          <w:rFonts w:ascii="Arial" w:cs="Arial" w:eastAsia="Arial" w:hAnsi="Arial"/>
          <w:color w:val="1F2937"/>
          <w:sz w:val="22"/>
          <w:szCs w:val="22"/>
        </w:rPr>
        <w:t xml:space="preserve">The dataset is a single flat file named </w:t>
      </w:r>
      <w:r>
        <w:rPr>
          <w:rFonts w:ascii="Arial" w:cs="Arial" w:eastAsia="Arial" w:hAnsi="Arial"/>
          <w:b/>
          <w:bCs/>
          <w:color w:val="1F2937"/>
          <w:sz w:val="22"/>
          <w:szCs w:val="22"/>
        </w:rPr>
        <w:t xml:space="preserve">Sale_combined.xlsx</w:t>
      </w:r>
      <w:r>
        <w:rPr>
          <w:rFonts w:ascii="Arial" w:cs="Arial" w:eastAsia="Arial" w:hAnsi="Arial"/>
          <w:color w:val="1F2937"/>
          <w:sz w:val="22"/>
          <w:szCs w:val="22"/>
        </w:rPr>
        <w:t xml:space="preserve">, containing one worksheet (Sheet1) with 1,482 order records and 23 columns spanning the period January 2009 to December 2012. The data represents US domestic retail orders across multiple product categories, regions, and customer segments. No external data sources were used; all analysis derives from this single file.</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500"/>
        <w:gridCol w:w="2620"/>
        <w:gridCol w:w="46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Order_ID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Text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Unique identifier for each order</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Order_Date / Ship_Date</w:t>
            </w:r>
          </w:p>
        </w:tc>
        <w:tc>
          <w:tcPr>
            <w:tcW w:type="dxa" w:w="2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Date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Order placement and despatch dates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Sales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 (GBP)</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Total revenue for the order line</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Profit</w:t>
            </w:r>
          </w:p>
        </w:tc>
        <w:tc>
          <w:tcPr>
            <w:tcW w:type="dxa" w:w="2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 (GBP)</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Net profit after cost and discount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Discount</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 (0 to 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Proportional discount applied (e.g. 0.05 = 5%)</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Order_Quantity</w:t>
            </w:r>
          </w:p>
        </w:tc>
        <w:tc>
          <w:tcPr>
            <w:tcW w:type="dxa" w:w="2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Integer</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Number of units ordered</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Ship_Mode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Regular Air, Express Air, Delivery Truck</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Customer_Segment</w:t>
            </w:r>
          </w:p>
        </w:tc>
        <w:tc>
          <w:tcPr>
            <w:tcW w:type="dxa" w:w="2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Category</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Consumer, Corporate, Home Office, Small Business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Region / State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Category / Text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One of four US regions and 49 individual states</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Product_Category</w:t>
            </w:r>
          </w:p>
        </w:tc>
        <w:tc>
          <w:tcPr>
            <w:tcW w:type="dxa" w:w="2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Category</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Furniture, Office Supplies, Technology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Product_Base_Margin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Base margin percentage for the product</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Shipping_Cost</w:t>
            </w:r>
          </w:p>
        </w:tc>
        <w:tc>
          <w:tcPr>
            <w:tcW w:type="dxa" w:w="2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 (GBP)</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Cost of shipping for the order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Unit_Price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Numeric (GBP)</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Listed price per unit before discount</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2.2 Data Cleaning Steps</w:t>
      </w:r>
    </w:p>
    <w:p>
      <w:pPr>
        <w:spacing w:after="80" w:before="80"/>
        <w:jc w:val="both"/>
      </w:pPr>
      <w:r>
        <w:rPr>
          <w:rFonts w:ascii="Arial" w:cs="Arial" w:eastAsia="Arial" w:hAnsi="Arial"/>
          <w:color w:val="1F2937"/>
          <w:sz w:val="22"/>
          <w:szCs w:val="22"/>
        </w:rPr>
        <w:t xml:space="preserve">The following issues were identified and resolved before analysis began:</w:t>
      </w:r>
    </w:p>
    <w:p>
      <w:pPr>
        <w:spacing w:after="0" w:before="60"/>
      </w:pPr>
      <w:r>
        <w:t xml:space="preserve"/>
      </w:r>
    </w:p>
    <w:p>
      <w:pPr>
        <w:pStyle w:val="ListParagraph"/>
        <w:numPr>
          <w:ilvl w:val="0"/>
          <w:numId w:val="3"/>
        </w:numPr>
        <w:spacing w:after="40" w:before="40"/>
        <w:ind w:left="720" w:hanging="360"/>
      </w:pPr>
      <w:r>
        <w:rPr>
          <w:rFonts w:ascii="Arial" w:cs="Arial" w:eastAsia="Arial" w:hAnsi="Arial"/>
          <w:color w:val="1F2937"/>
          <w:sz w:val="22"/>
          <w:szCs w:val="22"/>
        </w:rPr>
        <w:t xml:space="preserve">Missing values in Product_Base_Margin: 15 records (1.01% of the dataset) had blank values. Rather than deleting these rows, missing values were imputed using the average margin for the same Product_Category using an AVERAGEIFS formula, preserving all 1,482 records for analysis.</w:t>
      </w:r>
    </w:p>
    <w:p>
      <w:pPr>
        <w:pStyle w:val="ListParagraph"/>
        <w:numPr>
          <w:ilvl w:val="0"/>
          <w:numId w:val="3"/>
        </w:numPr>
        <w:spacing w:after="40" w:before="40"/>
        <w:ind w:left="720" w:hanging="360"/>
      </w:pPr>
      <w:r>
        <w:rPr>
          <w:rFonts w:ascii="Arial" w:cs="Arial" w:eastAsia="Arial" w:hAnsi="Arial"/>
          <w:color w:val="1F2937"/>
          <w:sz w:val="22"/>
          <w:szCs w:val="22"/>
        </w:rPr>
        <w:t xml:space="preserve">Text inconsistencies: All categorical text columns were passed through TRIM and CLEAN functions to remove hidden spaces and non-printing characters. This resolved a VLOOKUP N/A error caused by a trailing space in one lookup table entry.</w:t>
      </w:r>
    </w:p>
    <w:p>
      <w:pPr>
        <w:pStyle w:val="ListParagraph"/>
        <w:numPr>
          <w:ilvl w:val="0"/>
          <w:numId w:val="3"/>
        </w:numPr>
        <w:spacing w:after="40" w:before="40"/>
        <w:ind w:left="720" w:hanging="360"/>
      </w:pPr>
      <w:r>
        <w:rPr>
          <w:rFonts w:ascii="Arial" w:cs="Arial" w:eastAsia="Arial" w:hAnsi="Arial"/>
          <w:color w:val="1F2937"/>
          <w:sz w:val="22"/>
          <w:szCs w:val="22"/>
        </w:rPr>
        <w:t xml:space="preserve">Date logic validation: A formula check confirmed that no Ship_Date preceded its corresponding Order_Date, confirming date integrity across all records.</w:t>
      </w:r>
    </w:p>
    <w:p>
      <w:pPr>
        <w:pStyle w:val="ListParagraph"/>
        <w:numPr>
          <w:ilvl w:val="0"/>
          <w:numId w:val="3"/>
        </w:numPr>
        <w:spacing w:after="40" w:before="40"/>
        <w:ind w:left="720" w:hanging="360"/>
      </w:pPr>
      <w:r>
        <w:rPr>
          <w:rFonts w:ascii="Arial" w:cs="Arial" w:eastAsia="Arial" w:hAnsi="Arial"/>
          <w:color w:val="1F2937"/>
          <w:sz w:val="22"/>
          <w:szCs w:val="22"/>
        </w:rPr>
        <w:t xml:space="preserve">Duplicate check: A COUNTIFS formula confirmed zero duplicate Order_ID and product combinations within the same order.</w:t>
      </w:r>
    </w:p>
    <w:p>
      <w:pPr>
        <w:pStyle w:val="ListParagraph"/>
        <w:numPr>
          <w:ilvl w:val="0"/>
          <w:numId w:val="3"/>
        </w:numPr>
        <w:spacing w:after="40" w:before="40"/>
        <w:ind w:left="720" w:hanging="360"/>
      </w:pPr>
      <w:r>
        <w:rPr>
          <w:rFonts w:ascii="Arial" w:cs="Arial" w:eastAsia="Arial" w:hAnsi="Arial"/>
          <w:color w:val="1F2937"/>
          <w:sz w:val="22"/>
          <w:szCs w:val="22"/>
        </w:rPr>
        <w:t xml:space="preserve">Category conversion for Order_Priority: The text field was converted to a numeric score (Critical = 5, High = 4, Medium = 3, Low = 2, Not Specified = 1) using a VLOOKUP lookup table to enable statistical analysis on priority.</w:t>
      </w:r>
    </w:p>
    <w:p>
      <w:pPr>
        <w:pStyle w:val="ListParagraph"/>
        <w:numPr>
          <w:ilvl w:val="0"/>
          <w:numId w:val="3"/>
        </w:numPr>
        <w:spacing w:after="40" w:before="40"/>
        <w:ind w:left="720" w:hanging="360"/>
      </w:pPr>
      <w:r>
        <w:rPr>
          <w:rFonts w:ascii="Arial" w:cs="Arial" w:eastAsia="Arial" w:hAnsi="Arial"/>
          <w:color w:val="1F2937"/>
          <w:sz w:val="22"/>
          <w:szCs w:val="22"/>
        </w:rPr>
        <w:t xml:space="preserve">Discount policy compliance: A second lookup table was created to assign maximum permitted discount thresholds by Customer_Segment, and each order was flagged as either within policy or over policy using an IF formula.</w:t>
      </w:r>
    </w:p>
    <w:p>
      <w:pPr>
        <w:spacing w:after="0" w:before="80"/>
      </w:pPr>
      <w:r>
        <w:t xml:space="preserve"/>
      </w:r>
    </w:p>
    <w:p>
      <w:pPr>
        <w:shd w:fill="E8F4FD" w:val="clear"/>
        <w:spacing w:after="120" w:before="120"/>
        <w:ind w:left="360" w:right="360"/>
      </w:pPr>
      <w:r>
        <w:rPr>
          <w:rFonts w:ascii="Arial" w:cs="Arial" w:eastAsia="Arial" w:hAnsi="Arial"/>
          <w:b/>
          <w:bCs/>
          <w:color w:val="2E75B6"/>
          <w:sz w:val="22"/>
          <w:szCs w:val="22"/>
        </w:rPr>
        <w:t xml:space="preserve">Data Quality Note: </w:t>
      </w:r>
      <w:r>
        <w:rPr>
          <w:rFonts w:ascii="Arial" w:cs="Arial" w:eastAsia="Arial" w:hAnsi="Arial"/>
          <w:color w:val="1F2937"/>
          <w:sz w:val="22"/>
          <w:szCs w:val="22"/>
        </w:rPr>
        <w:t xml:space="preserve">After cleaning, the dataset is complete with no missing values in any analytical column. All 1,482 records were retained for analysis. No rows were deleted.</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3. Analysis Methods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3.1 Tools Used</w:t>
      </w:r>
    </w:p>
    <w:p>
      <w:pPr>
        <w:spacing w:after="80" w:before="80"/>
        <w:jc w:val="both"/>
      </w:pPr>
      <w:r>
        <w:rPr>
          <w:rFonts w:ascii="Arial" w:cs="Arial" w:eastAsia="Arial" w:hAnsi="Arial"/>
          <w:color w:val="1F2937"/>
          <w:sz w:val="22"/>
          <w:szCs w:val="22"/>
        </w:rPr>
        <w:t xml:space="preserve">All analysis was performed entirely within </w:t>
      </w:r>
      <w:r>
        <w:rPr>
          <w:rFonts w:ascii="Arial" w:cs="Arial" w:eastAsia="Arial" w:hAnsi="Arial"/>
          <w:b/>
          <w:bCs/>
          <w:color w:val="1F2937"/>
          <w:sz w:val="22"/>
          <w:szCs w:val="22"/>
        </w:rPr>
        <w:t xml:space="preserve">Microsoft Excel</w:t>
      </w:r>
      <w:r>
        <w:rPr>
          <w:rFonts w:ascii="Arial" w:cs="Arial" w:eastAsia="Arial" w:hAnsi="Arial"/>
          <w:color w:val="1F2937"/>
          <w:sz w:val="22"/>
          <w:szCs w:val="22"/>
        </w:rPr>
        <w:t xml:space="preserve"> using a structured, multi-sheet workbook. No external statistical software, macros, or programming languages were used. This was a deliberate design choice to demonstrate that professional-grade analysis is achievable within a widely available business tool.</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3200"/>
        <w:gridCol w:w="652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Excel Feature</w:t>
            </w:r>
          </w:p>
        </w:tc>
        <w:tc>
          <w:tcPr>
            <w:tcW w:type="dxa" w:w="6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Excel Tables (Ctrl+T)</w:t>
            </w:r>
          </w:p>
        </w:tc>
        <w:tc>
          <w:tcPr>
            <w:tcW w:type="dxa" w:w="6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Structured references replacing fixed cell ranges, enabling formulas to auto-expand</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VLOOKUP (exact and approximate)</w:t>
            </w:r>
          </w:p>
        </w:tc>
        <w:tc>
          <w:tcPr>
            <w:tcW w:type="dxa" w:w="6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Enriching records with priority scores, SLA targets, and discount policy limits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SUMIFS / AVERAGEIFS / COUNTIFS</w:t>
            </w:r>
          </w:p>
        </w:tc>
        <w:tc>
          <w:tcPr>
            <w:tcW w:type="dxa" w:w="6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Conditional aggregation for segment, region, and time-based breakdowns</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CORREL</w:t>
            </w:r>
          </w:p>
        </w:tc>
        <w:tc>
          <w:tcPr>
            <w:tcW w:type="dxa" w:w="6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Measuring linear relationships between continuous variables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Z-score (AVERAGE + STDEV.S)</w:t>
            </w:r>
          </w:p>
        </w:tc>
        <w:tc>
          <w:tcPr>
            <w:tcW w:type="dxa" w:w="6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Statistical outlier detection: orders with |Z| greater than 3 flagged as anomalies</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RFM Segmentation</w:t>
            </w:r>
          </w:p>
        </w:tc>
        <w:tc>
          <w:tcPr>
            <w:tcW w:type="dxa" w:w="6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COUNTIF, SUMIF, and MAXIFS to compute Recency, Frequency, and Monetary scores per customer</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IFS / Discount Band</w:t>
            </w:r>
          </w:p>
        </w:tc>
        <w:tc>
          <w:tcPr>
            <w:tcW w:type="dxa" w:w="6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Bucketing discount values into bands for breakeven analysis</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TEXT function + grouping</w:t>
            </w:r>
          </w:p>
        </w:tc>
        <w:tc>
          <w:tcPr>
            <w:tcW w:type="dxa" w:w="6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Extracting month and year from dates for seasonality analysis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PivotTables + Slicers</w:t>
            </w:r>
          </w:p>
        </w:tc>
        <w:tc>
          <w:tcPr>
            <w:tcW w:type="dxa" w:w="6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Interactive cross-tabulation of all key dimensions with region/year/segment filtering</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Scatter chart + Linear Trendline</w:t>
            </w:r>
          </w:p>
        </w:tc>
        <w:tc>
          <w:tcPr>
            <w:tcW w:type="dxa" w:w="6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Visualising and modelling the relationship between discount rate and profit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Conditional Formatting</w:t>
            </w:r>
          </w:p>
        </w:tc>
        <w:tc>
          <w:tcPr>
            <w:tcW w:type="dxa" w:w="6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Traffic-light colouring of KPI tiles and outlier flags on the dashboard</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3.2 Analytical Methods</w:t>
      </w:r>
    </w:p>
    <w:p>
      <w:pPr>
        <w:spacing w:after="0" w:before="60"/>
      </w:pPr>
      <w:r>
        <w:t xml:space="preserve"/>
      </w:r>
    </w:p>
    <w:p>
      <w:pPr>
        <w:spacing w:after="80" w:before="200"/>
      </w:pPr>
      <w:r>
        <w:rPr>
          <w:rFonts w:ascii="Arial" w:cs="Arial" w:eastAsia="Arial" w:hAnsi="Arial"/>
          <w:b/>
          <w:bCs/>
          <w:color w:val="2E75B6"/>
          <w:sz w:val="24"/>
          <w:szCs w:val="24"/>
        </w:rPr>
        <w:t xml:space="preserve">Descriptive Statistics</w:t>
      </w:r>
    </w:p>
    <w:p>
      <w:pPr>
        <w:spacing w:after="80" w:before="80"/>
        <w:jc w:val="both"/>
      </w:pPr>
      <w:r>
        <w:rPr>
          <w:rFonts w:ascii="Arial" w:cs="Arial" w:eastAsia="Arial" w:hAnsi="Arial"/>
          <w:color w:val="1F2937"/>
          <w:sz w:val="22"/>
          <w:szCs w:val="22"/>
        </w:rPr>
        <w:t xml:space="preserve">Measures of central tendency and spread (mean, median, standard deviation, quartiles, min, max) were calculated for Sales, Profit, Discount, Order Quantity, Shipping Cost, and Unit Price. The median was prioritised over the mean for Profit due to extreme outliers skewing the distribution.</w:t>
      </w:r>
    </w:p>
    <w:p>
      <w:pPr>
        <w:spacing w:after="0" w:before="60"/>
      </w:pPr>
      <w:r>
        <w:t xml:space="preserve"/>
      </w:r>
    </w:p>
    <w:p>
      <w:pPr>
        <w:spacing w:after="80" w:before="200"/>
      </w:pPr>
      <w:r>
        <w:rPr>
          <w:rFonts w:ascii="Arial" w:cs="Arial" w:eastAsia="Arial" w:hAnsi="Arial"/>
          <w:b/>
          <w:bCs/>
          <w:color w:val="2E75B6"/>
          <w:sz w:val="24"/>
          <w:szCs w:val="24"/>
        </w:rPr>
        <w:t xml:space="preserve">Correlation Analysis</w:t>
      </w:r>
    </w:p>
    <w:p>
      <w:pPr>
        <w:spacing w:after="80" w:before="80"/>
        <w:jc w:val="both"/>
      </w:pPr>
      <w:r>
        <w:rPr>
          <w:rFonts w:ascii="Arial" w:cs="Arial" w:eastAsia="Arial" w:hAnsi="Arial"/>
          <w:color w:val="1F2937"/>
          <w:sz w:val="22"/>
          <w:szCs w:val="22"/>
        </w:rPr>
        <w:t xml:space="preserve">Pearson correlation coefficients were calculated between all continuous numeric variables using the CORREL function. This identifies the strength and direction of linear relationships between pairs of variables, scaled from -1 (perfect negative) to +1 (perfect positive).</w:t>
      </w:r>
    </w:p>
    <w:p>
      <w:pPr>
        <w:spacing w:after="0" w:before="60"/>
      </w:pPr>
      <w:r>
        <w:t xml:space="preserve"/>
      </w:r>
    </w:p>
    <w:p>
      <w:pPr>
        <w:spacing w:after="80" w:before="200"/>
      </w:pPr>
      <w:r>
        <w:rPr>
          <w:rFonts w:ascii="Arial" w:cs="Arial" w:eastAsia="Arial" w:hAnsi="Arial"/>
          <w:b/>
          <w:bCs/>
          <w:color w:val="2E75B6"/>
          <w:sz w:val="24"/>
          <w:szCs w:val="24"/>
        </w:rPr>
        <w:t xml:space="preserve">Linear Regression</w:t>
      </w:r>
    </w:p>
    <w:p>
      <w:pPr>
        <w:spacing w:after="80" w:before="80"/>
        <w:jc w:val="both"/>
      </w:pPr>
      <w:r>
        <w:rPr>
          <w:rFonts w:ascii="Arial" w:cs="Arial" w:eastAsia="Arial" w:hAnsi="Arial"/>
          <w:color w:val="1F2937"/>
          <w:sz w:val="22"/>
          <w:szCs w:val="22"/>
        </w:rPr>
        <w:t xml:space="preserve">Simple linear regression was applied visually via a scatter chart plotting Discount (X axis) against Profit (Y axis), with a linear trendline and R-squared value added in Excel. The regression examines whether discount percentage is a statistically meaningful predictor of profitability. A complementary breakeven analysis was performed by computing average profit per discount band using AVERAGEIFS.</w:t>
      </w:r>
    </w:p>
    <w:p>
      <w:pPr>
        <w:spacing w:after="0" w:before="60"/>
      </w:pPr>
      <w:r>
        <w:t xml:space="preserve"/>
      </w:r>
    </w:p>
    <w:p>
      <w:pPr>
        <w:spacing w:after="80" w:before="200"/>
      </w:pPr>
      <w:r>
        <w:rPr>
          <w:rFonts w:ascii="Arial" w:cs="Arial" w:eastAsia="Arial" w:hAnsi="Arial"/>
          <w:b/>
          <w:bCs/>
          <w:color w:val="2E75B6"/>
          <w:sz w:val="24"/>
          <w:szCs w:val="24"/>
        </w:rPr>
        <w:t xml:space="preserve">Anomaly Detection</w:t>
      </w:r>
    </w:p>
    <w:p>
      <w:pPr>
        <w:spacing w:after="80" w:before="80"/>
        <w:jc w:val="both"/>
      </w:pPr>
      <w:r>
        <w:rPr>
          <w:rFonts w:ascii="Arial" w:cs="Arial" w:eastAsia="Arial" w:hAnsi="Arial"/>
          <w:color w:val="1F2937"/>
          <w:sz w:val="22"/>
          <w:szCs w:val="22"/>
        </w:rPr>
        <w:t xml:space="preserve">Z-scores were computed for Sales values. Orders with an absolute Z-score exceeding 3 (more than 3 standard deviations from the mean) were flagged as statistical outliers. This threshold follows standard statistical convention and identifies genuinely unusual transactions rather than normal high-value orders.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3.3 Assumptions</w:t>
      </w:r>
    </w:p>
    <w:p>
      <w:pPr>
        <w:pStyle w:val="ListParagraph"/>
        <w:numPr>
          <w:ilvl w:val="0"/>
          <w:numId w:val="2"/>
        </w:numPr>
        <w:spacing w:after="40" w:before="40"/>
        <w:ind w:left="720" w:hanging="360"/>
      </w:pPr>
      <w:r>
        <w:rPr>
          <w:rFonts w:ascii="Arial" w:cs="Arial" w:eastAsia="Arial" w:hAnsi="Arial"/>
          <w:color w:val="1F2937"/>
          <w:sz w:val="22"/>
          <w:szCs w:val="22"/>
        </w:rPr>
        <w:t xml:space="preserve">All monetary values are treated as a single currency. No currency conversion was applied.</w:t>
      </w:r>
    </w:p>
    <w:p>
      <w:pPr>
        <w:pStyle w:val="ListParagraph"/>
        <w:numPr>
          <w:ilvl w:val="0"/>
          <w:numId w:val="2"/>
        </w:numPr>
        <w:spacing w:after="40" w:before="40"/>
        <w:ind w:left="720" w:hanging="360"/>
      </w:pPr>
      <w:r>
        <w:rPr>
          <w:rFonts w:ascii="Arial" w:cs="Arial" w:eastAsia="Arial" w:hAnsi="Arial"/>
          <w:color w:val="1F2937"/>
          <w:sz w:val="22"/>
          <w:szCs w:val="22"/>
        </w:rPr>
        <w:t xml:space="preserve">Profit values represent net profit after all costs including shipping and discount, as provided in the raw data. No adjustments were made.</w:t>
      </w:r>
    </w:p>
    <w:p>
      <w:pPr>
        <w:pStyle w:val="ListParagraph"/>
        <w:numPr>
          <w:ilvl w:val="0"/>
          <w:numId w:val="2"/>
        </w:numPr>
        <w:spacing w:after="40" w:before="40"/>
        <w:ind w:left="720" w:hanging="360"/>
      </w:pPr>
      <w:r>
        <w:rPr>
          <w:rFonts w:ascii="Arial" w:cs="Arial" w:eastAsia="Arial" w:hAnsi="Arial"/>
          <w:color w:val="1F2937"/>
          <w:sz w:val="22"/>
          <w:szCs w:val="22"/>
        </w:rPr>
        <w:t xml:space="preserve">Discount values are assumed to be promotional discounts applied at point of sale, not negotiated contracts.</w:t>
      </w:r>
    </w:p>
    <w:p>
      <w:pPr>
        <w:pStyle w:val="ListParagraph"/>
        <w:numPr>
          <w:ilvl w:val="0"/>
          <w:numId w:val="2"/>
        </w:numPr>
        <w:spacing w:after="40" w:before="40"/>
        <w:ind w:left="720" w:hanging="360"/>
      </w:pPr>
      <w:r>
        <w:rPr>
          <w:rFonts w:ascii="Arial" w:cs="Arial" w:eastAsia="Arial" w:hAnsi="Arial"/>
          <w:color w:val="1F2937"/>
          <w:sz w:val="22"/>
          <w:szCs w:val="22"/>
        </w:rPr>
        <w:t xml:space="preserve">Missing Product_Base_Margin values (15 records) are assumed to be missing at random, making category-level imputation appropriate.</w:t>
      </w:r>
    </w:p>
    <w:p>
      <w:pPr>
        <w:pStyle w:val="ListParagraph"/>
        <w:numPr>
          <w:ilvl w:val="0"/>
          <w:numId w:val="2"/>
        </w:numPr>
        <w:spacing w:after="40" w:before="40"/>
        <w:ind w:left="720" w:hanging="360"/>
      </w:pPr>
      <w:r>
        <w:rPr>
          <w:rFonts w:ascii="Arial" w:cs="Arial" w:eastAsia="Arial" w:hAnsi="Arial"/>
          <w:color w:val="1F2937"/>
          <w:sz w:val="22"/>
          <w:szCs w:val="22"/>
        </w:rPr>
        <w:t xml:space="preserve">The linear trendline assumes a linear relationship between Discount and Profit. Non-linear effects are possible but were not modelled within Excel's scope.</w:t>
      </w:r>
    </w:p>
    <w:p>
      <w:pPr>
        <w:pStyle w:val="ListParagraph"/>
        <w:numPr>
          <w:ilvl w:val="0"/>
          <w:numId w:val="2"/>
        </w:numPr>
        <w:spacing w:after="40" w:before="40"/>
        <w:ind w:left="720" w:hanging="360"/>
      </w:pPr>
      <w:r>
        <w:rPr>
          <w:rFonts w:ascii="Arial" w:cs="Arial" w:eastAsia="Arial" w:hAnsi="Arial"/>
          <w:color w:val="1F2937"/>
          <w:sz w:val="22"/>
          <w:szCs w:val="22"/>
        </w:rPr>
        <w:t xml:space="preserve">SLA targets (Express Air: 1 day, Regular Air: 3 days, Delivery Truck: 5 days) are assumed policy targets and are not confirmed from an external source.</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4. Results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4.1 Descriptive Statistics</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200"/>
        <w:gridCol w:w="1520"/>
        <w:gridCol w:w="1520"/>
        <w:gridCol w:w="1520"/>
        <w:gridCol w:w="1520"/>
        <w:gridCol w:w="144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w:t>
            </w:r>
          </w:p>
        </w:tc>
        <w:tc>
          <w:tcPr>
            <w:tcW w:type="dxa" w:w="1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Median</w:t>
            </w:r>
          </w:p>
        </w:tc>
        <w:tc>
          <w:tcPr>
            <w:tcW w:type="dxa" w:w="1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Dev</w:t>
            </w:r>
          </w:p>
        </w:tc>
        <w:tc>
          <w:tcPr>
            <w:tcW w:type="dxa" w:w="1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Sales ($)</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1,776</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448</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3,558</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45,924</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Profit ($)</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194</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-3</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1,103</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-4,266</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14,440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Discount (%)</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5%</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5%</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3%</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25%</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Order Quantity</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25</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25</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14</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50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Shipping Cost ($)</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12.80</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5.99</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17.01</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0.49</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126.00</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Unit Price ($)</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84.27</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20.99</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252.78</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1.26</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6,783</w:t>
            </w:r>
          </w:p>
        </w:tc>
      </w:tr>
    </w:tbl>
    <w:p>
      <w:pPr>
        <w:spacing w:after="0" w:before="120"/>
      </w:pPr>
      <w:r>
        <w:t xml:space="preserve"/>
      </w:r>
    </w:p>
    <w:p>
      <w:pPr>
        <w:shd w:fill="E8F4FD" w:val="clear"/>
        <w:spacing w:after="120" w:before="120"/>
        <w:ind w:left="360" w:right="360"/>
      </w:pPr>
      <w:r>
        <w:rPr>
          <w:rFonts w:ascii="Arial" w:cs="Arial" w:eastAsia="Arial" w:hAnsi="Arial"/>
          <w:b/>
          <w:bCs/>
          <w:color w:val="2E75B6"/>
          <w:sz w:val="22"/>
          <w:szCs w:val="22"/>
        </w:rPr>
        <w:t xml:space="preserve">Key Finding: </w:t>
      </w:r>
      <w:r>
        <w:rPr>
          <w:rFonts w:ascii="Arial" w:cs="Arial" w:eastAsia="Arial" w:hAnsi="Arial"/>
          <w:color w:val="1F2937"/>
          <w:sz w:val="22"/>
          <w:szCs w:val="22"/>
        </w:rPr>
        <w:t xml:space="preserve">The median profit across all 1,482 orders is -$2.98, meaning the majority of individual order lines are unprofitable. Profitability is driven by a relatively small number of high-value orders. This is a critical business insight that aggregate revenue figures completely hide.</w:t>
      </w:r>
    </w:p>
    <w:p>
      <w:pPr>
        <w:spacing w:after="0" w:before="100"/>
      </w:pPr>
      <w:r>
        <w:t xml:space="preserve"/>
      </w:r>
    </w:p>
    <w:p>
      <w:pPr>
        <w:spacing w:after="80" w:before="200"/>
      </w:pPr>
      <w:r>
        <w:rPr>
          <w:rFonts w:ascii="Arial" w:cs="Arial" w:eastAsia="Arial" w:hAnsi="Arial"/>
          <w:b/>
          <w:bCs/>
          <w:color w:val="2E75B6"/>
          <w:sz w:val="24"/>
          <w:szCs w:val="24"/>
        </w:rPr>
        <w:t xml:space="preserve">Trends and Patterns in Descriptive Statistics</w:t>
      </w:r>
    </w:p>
    <w:p>
      <w:pPr>
        <w:spacing w:after="0" w:before="60"/>
      </w:pPr>
      <w:r>
        <w:t xml:space="preserve"/>
      </w:r>
    </w:p>
    <w:p>
      <w:pPr>
        <w:spacing w:after="80" w:before="80"/>
        <w:jc w:val="both"/>
      </w:pPr>
      <w:r>
        <w:rPr>
          <w:rFonts w:ascii="Arial" w:cs="Arial" w:eastAsia="Arial" w:hAnsi="Arial"/>
          <w:b/>
          <w:bCs/>
          <w:color w:val="1F2937"/>
          <w:sz w:val="22"/>
          <w:szCs w:val="22"/>
        </w:rPr>
        <w:t xml:space="preserve">Profit distribution is heavily skewed. </w:t>
      </w:r>
      <w:r>
        <w:rPr>
          <w:rFonts w:ascii="Arial" w:cs="Arial" w:eastAsia="Arial" w:hAnsi="Arial"/>
          <w:color w:val="1F2937"/>
          <w:sz w:val="22"/>
          <w:szCs w:val="22"/>
        </w:rPr>
        <w:t xml:space="preserve">The mean profit of $194 is far above the median of -$3. This large gap signals extreme right skew: a small number of very profitable orders inflate the average, masking the fact that more than half of all transactions lose money. The first quartile profit is -$90, confirming that at least 25% of orders are loss-making before any outliers are considered.</w:t>
      </w:r>
    </w:p>
    <w:p>
      <w:pPr>
        <w:spacing w:after="0" w:before="60"/>
      </w:pPr>
      <w:r>
        <w:t xml:space="preserve"/>
      </w:r>
    </w:p>
    <w:p>
      <w:pPr>
        <w:spacing w:after="80" w:before="80"/>
        <w:jc w:val="both"/>
      </w:pPr>
      <w:r>
        <w:rPr>
          <w:rFonts w:ascii="Arial" w:cs="Arial" w:eastAsia="Arial" w:hAnsi="Arial"/>
          <w:b/>
          <w:bCs/>
          <w:color w:val="1F2937"/>
          <w:sz w:val="22"/>
          <w:szCs w:val="22"/>
        </w:rPr>
        <w:t xml:space="preserve">Technology dominates both revenue and profit. </w:t>
      </w:r>
      <w:r>
        <w:rPr>
          <w:rFonts w:ascii="Arial" w:cs="Arial" w:eastAsia="Arial" w:hAnsi="Arial"/>
          <w:color w:val="1F2937"/>
          <w:sz w:val="22"/>
          <w:szCs w:val="22"/>
        </w:rPr>
        <w:t xml:space="preserve">Technology generated $1,016,245 in sales and $162,882 in profit, representing 61.5% of total net profit despite accounting for only 38.6% of total sales. By contrast, Furniture produced $923,674 in sales but only $25,055 in profit, a margin of just 2.7%. Furniture is generating significant revenue while contributing very little to the bottom line.</w:t>
      </w:r>
    </w:p>
    <w:p>
      <w:pPr>
        <w:spacing w:after="0" w:before="60"/>
      </w:pPr>
      <w:r>
        <w:t xml:space="preserve"/>
      </w:r>
    </w:p>
    <w:p>
      <w:pPr>
        <w:spacing w:after="80" w:before="80"/>
        <w:jc w:val="both"/>
      </w:pPr>
      <w:r>
        <w:rPr>
          <w:rFonts w:ascii="Arial" w:cs="Arial" w:eastAsia="Arial" w:hAnsi="Arial"/>
          <w:b/>
          <w:bCs/>
          <w:color w:val="1F2937"/>
          <w:sz w:val="22"/>
          <w:szCs w:val="22"/>
        </w:rPr>
        <w:t xml:space="preserve">Sales are concentrated in a small number of states. </w:t>
      </w:r>
      <w:r>
        <w:rPr>
          <w:rFonts w:ascii="Arial" w:cs="Arial" w:eastAsia="Arial" w:hAnsi="Arial"/>
          <w:color w:val="1F2937"/>
          <w:sz w:val="22"/>
          <w:szCs w:val="22"/>
        </w:rPr>
        <w:t xml:space="preserve">California alone accounts for $216,368 in sales (8.2% of the total), followed by Florida at $185,152 and New York at $164,906. The top 3 states together account for over 21% of all revenue, indicating geographic concentration risk.</w:t>
      </w:r>
    </w:p>
    <w:p>
      <w:pPr>
        <w:spacing w:after="0" w:before="60"/>
      </w:pPr>
      <w:r>
        <w:t xml:space="preserve"/>
      </w:r>
    </w:p>
    <w:p>
      <w:pPr>
        <w:spacing w:after="80" w:before="80"/>
        <w:jc w:val="both"/>
      </w:pPr>
      <w:r>
        <w:rPr>
          <w:rFonts w:ascii="Arial" w:cs="Arial" w:eastAsia="Arial" w:hAnsi="Arial"/>
          <w:b/>
          <w:bCs/>
          <w:color w:val="1F2937"/>
          <w:sz w:val="22"/>
          <w:szCs w:val="22"/>
        </w:rPr>
        <w:t xml:space="preserve">Discount values cluster at policy-set intervals. </w:t>
      </w:r>
      <w:r>
        <w:rPr>
          <w:rFonts w:ascii="Arial" w:cs="Arial" w:eastAsia="Arial" w:hAnsi="Arial"/>
          <w:color w:val="1F2937"/>
          <w:sz w:val="22"/>
          <w:szCs w:val="22"/>
        </w:rPr>
        <w:t xml:space="preserve">Rather than a continuous spread, discount values appear only at 13 specific levels (0%, 1%, 2%, 3%, 4%, 5%, 6%, 7%, 8%, 9%, 10%, 11%, and 25%). This pattern confirms that discounts are set by internal policy rather than negotiated on an order-by-order basis. The 25% level stands out as a significant outlier from the otherwise incremental scale, suggesting a separate promotional tier.</w:t>
      </w:r>
    </w:p>
    <w:p>
      <w:pPr>
        <w:spacing w:after="0" w:before="60"/>
      </w:pPr>
      <w:r>
        <w:t xml:space="preserve"/>
      </w:r>
    </w:p>
    <w:p>
      <w:pPr>
        <w:spacing w:after="80" w:before="80"/>
        <w:jc w:val="both"/>
      </w:pPr>
      <w:r>
        <w:rPr>
          <w:rFonts w:ascii="Arial" w:cs="Arial" w:eastAsia="Arial" w:hAnsi="Arial"/>
          <w:b/>
          <w:bCs/>
          <w:color w:val="1F2937"/>
          <w:sz w:val="22"/>
          <w:szCs w:val="22"/>
        </w:rPr>
        <w:t xml:space="preserve">Seasonal peak in December. </w:t>
      </w:r>
      <w:r>
        <w:rPr>
          <w:rFonts w:ascii="Arial" w:cs="Arial" w:eastAsia="Arial" w:hAnsi="Arial"/>
          <w:color w:val="1F2937"/>
          <w:sz w:val="22"/>
          <w:szCs w:val="22"/>
        </w:rPr>
        <w:t xml:space="preserve">December 2009 was the highest-revenue month in the entire dataset at $125,267. This is consistent with typical retail seasonality and suggests that Q4, particularly November and December, is the most commercially important period. The worst month was July 2010 at $16,594, less than 14% of the peak month's revenue.</w:t>
      </w:r>
    </w:p>
    <w:p>
      <w:pPr>
        <w:spacing w:after="0" w:before="60"/>
      </w:pPr>
      <w:r>
        <w:t xml:space="preserve"/>
      </w:r>
    </w:p>
    <w:p>
      <w:pPr>
        <w:spacing w:after="80" w:before="80"/>
        <w:jc w:val="both"/>
      </w:pPr>
      <w:r>
        <w:rPr>
          <w:rFonts w:ascii="Arial" w:cs="Arial" w:eastAsia="Arial" w:hAnsi="Arial"/>
          <w:b/>
          <w:bCs/>
          <w:color w:val="1F2937"/>
          <w:sz w:val="22"/>
          <w:szCs w:val="22"/>
        </w:rPr>
        <w:t xml:space="preserve">Corporate is the most valuable customer segment. </w:t>
      </w:r>
      <w:r>
        <w:rPr>
          <w:rFonts w:ascii="Arial" w:cs="Arial" w:eastAsia="Arial" w:hAnsi="Arial"/>
          <w:color w:val="1F2937"/>
          <w:sz w:val="22"/>
          <w:szCs w:val="22"/>
        </w:rPr>
        <w:t xml:space="preserve">Corporate customers generated $954,562 in sales and $108,261 in profit, making them the highest-value segment on both metrics. The Consumer segment had the lowest sales ($503,082) and profit ($54,398).</w:t>
      </w:r>
    </w:p>
    <w:p>
      <w:pPr>
        <w:spacing w:after="0" w:before="60"/>
      </w:pPr>
      <w:r>
        <w:t xml:space="preserve"/>
      </w:r>
    </w:p>
    <w:p>
      <w:pPr>
        <w:spacing w:after="80" w:before="80"/>
        <w:jc w:val="both"/>
      </w:pPr>
      <w:r>
        <w:rPr>
          <w:rFonts w:ascii="Arial" w:cs="Arial" w:eastAsia="Arial" w:hAnsi="Arial"/>
          <w:b/>
          <w:bCs/>
          <w:color w:val="1F2937"/>
          <w:sz w:val="22"/>
          <w:szCs w:val="22"/>
        </w:rPr>
        <w:t xml:space="preserve">38 statistical outliers detected. </w:t>
      </w:r>
      <w:r>
        <w:rPr>
          <w:rFonts w:ascii="Arial" w:cs="Arial" w:eastAsia="Arial" w:hAnsi="Arial"/>
          <w:color w:val="1F2937"/>
          <w:sz w:val="22"/>
          <w:szCs w:val="22"/>
        </w:rPr>
        <w:t xml:space="preserve">Using a Z-score threshold of 3, 38 orders were flagged as outliers in Sales value. These represent approximately 2.6% of all orders but likely account for a disproportionate share of total revenue. Each flagged order should be reviewed individually to confirm it represents a genuine transaction.</w:t>
      </w:r>
    </w:p>
    <w:p>
      <w:pPr>
        <w:spacing w:after="0" w:before="60"/>
      </w:pPr>
      <w:r>
        <w:t xml:space="preserve"/>
      </w:r>
    </w:p>
    <w:p>
      <w:pPr>
        <w:spacing w:after="80" w:before="200"/>
      </w:pPr>
      <w:r>
        <w:rPr>
          <w:rFonts w:ascii="Arial" w:cs="Arial" w:eastAsia="Arial" w:hAnsi="Arial"/>
          <w:b/>
          <w:bCs/>
          <w:color w:val="2E75B6"/>
          <w:sz w:val="24"/>
          <w:szCs w:val="24"/>
        </w:rPr>
        <w:t xml:space="preserve">Skewness Analysis</w:t>
      </w:r>
    </w:p>
    <w:p>
      <w:pPr>
        <w:spacing w:after="80" w:before="80"/>
        <w:jc w:val="both"/>
      </w:pPr>
      <w:r>
        <w:rPr>
          <w:rFonts w:ascii="Arial" w:cs="Arial" w:eastAsia="Arial" w:hAnsi="Arial"/>
          <w:color w:val="1F2937"/>
          <w:sz w:val="22"/>
          <w:szCs w:val="22"/>
        </w:rPr>
        <w:t xml:space="preserve">Skewness measures the asymmetry of a distribution around its mean. A value of 0 indicates a perfectly symmetric distribution. A positive value (right skew) means the tail extends to the right, so a small number of very high values pull the mean above the median. A negative value (left skew) means the opposite. As a rule of thumb, skewness between -0.5 and +0.5 is considered approximately symmetric; values between 0.5 and 1.0 indicate moderate skew; and values above 1.0 indicate strong skew. The SKEW() function in Excel was used to calculate these values, located in row 1493 of the Working Sheet.</w:t>
      </w:r>
    </w:p>
    <w:p>
      <w:pPr>
        <w:spacing w:after="80" w:before="80"/>
        <w:jc w:val="both"/>
      </w:pPr>
      <w:r>
        <w:rPr>
          <w:rFonts w:ascii="Arial" w:cs="Arial" w:eastAsia="Arial" w:hAnsi="Arial"/>
          <w:b/>
          <w:bCs/>
          <w:color w:val="1F2937"/>
          <w:sz w:val="22"/>
          <w:szCs w:val="22"/>
        </w:rPr>
        <w:t xml:space="preserve">Sales (Skewness = 4.40). </w:t>
      </w:r>
      <w:r>
        <w:rPr>
          <w:rFonts w:ascii="Arial" w:cs="Arial" w:eastAsia="Arial" w:hAnsi="Arial"/>
          <w:color w:val="1F2937"/>
          <w:sz w:val="22"/>
          <w:szCs w:val="22"/>
        </w:rPr>
        <w:t xml:space="preserve">Strongly right-skewed. The vast majority of orders are small in value, clustered around the median of $448, but a small number of very large transactions (up to $45,924) pull the mean up to $1,776. This is why the mean is nearly four times the median. Sales revenue is not evenly distributed; it is driven by a relatively small number of high-value orders.</w:t>
      </w:r>
    </w:p>
    <w:p>
      <w:pPr>
        <w:spacing w:after="80" w:before="80"/>
        <w:jc w:val="both"/>
      </w:pPr>
      <w:r>
        <w:rPr>
          <w:rFonts w:ascii="Arial" w:cs="Arial" w:eastAsia="Arial" w:hAnsi="Arial"/>
          <w:b/>
          <w:bCs/>
          <w:color w:val="1F2937"/>
          <w:sz w:val="22"/>
          <w:szCs w:val="22"/>
        </w:rPr>
        <w:t xml:space="preserve">Profit (Skewness = 5.21). </w:t>
      </w:r>
      <w:r>
        <w:rPr>
          <w:rFonts w:ascii="Arial" w:cs="Arial" w:eastAsia="Arial" w:hAnsi="Arial"/>
          <w:color w:val="1F2937"/>
          <w:sz w:val="22"/>
          <w:szCs w:val="22"/>
        </w:rPr>
        <w:t xml:space="preserve">The most heavily skewed variable in the dataset. The median profit is -$3, meaning more than half of all orders individually lose money, yet the mean is +$194 because a small cluster of highly profitable Technology orders push the average upward. A skewness of 5.21 confirms that the profit distribution has an extremely long right tail. This reinforces why the median is a more accurate representation of the typical order than the mean, and why total profit figures can be misleading without examining the distribution underneath.</w:t>
      </w:r>
    </w:p>
    <w:p>
      <w:pPr>
        <w:spacing w:after="80" w:before="80"/>
        <w:jc w:val="both"/>
      </w:pPr>
      <w:r>
        <w:rPr>
          <w:rFonts w:ascii="Arial" w:cs="Arial" w:eastAsia="Arial" w:hAnsi="Arial"/>
          <w:b/>
          <w:bCs/>
          <w:color w:val="1F2937"/>
          <w:sz w:val="22"/>
          <w:szCs w:val="22"/>
        </w:rPr>
        <w:t xml:space="preserve">Unit Price (Skewness = 15.95). </w:t>
      </w:r>
      <w:r>
        <w:rPr>
          <w:rFonts w:ascii="Arial" w:cs="Arial" w:eastAsia="Arial" w:hAnsi="Arial"/>
          <w:color w:val="1F2937"/>
          <w:sz w:val="22"/>
          <w:szCs w:val="22"/>
        </w:rPr>
        <w:t xml:space="preserve">Extremely right-skewed, the highest skewness value in the dataset. The median unit price is $20.99 but the mean is $84.27, pulled upward by a very small number of exceptionally high-priced items reaching $6,783. The product catalogue is dominated by low-to-mid-price items, with a handful of premium Technology products creating a very long upper tail. This is directly connected to the strong Sales-to-Unit-Price correlation (r = 0.711) identified in the correlation analysis.</w:t>
      </w:r>
    </w:p>
    <w:p>
      <w:pPr>
        <w:spacing w:after="80" w:before="80"/>
        <w:jc w:val="both"/>
      </w:pPr>
      <w:r>
        <w:rPr>
          <w:rFonts w:ascii="Arial" w:cs="Arial" w:eastAsia="Arial" w:hAnsi="Arial"/>
          <w:b/>
          <w:bCs/>
          <w:color w:val="1F2937"/>
          <w:sz w:val="22"/>
          <w:szCs w:val="22"/>
        </w:rPr>
        <w:t xml:space="preserve">Shipping Cost (Skewness = 2.40). </w:t>
      </w:r>
      <w:r>
        <w:rPr>
          <w:rFonts w:ascii="Arial" w:cs="Arial" w:eastAsia="Arial" w:hAnsi="Arial"/>
          <w:color w:val="1F2937"/>
          <w:sz w:val="22"/>
          <w:szCs w:val="22"/>
        </w:rPr>
        <w:t xml:space="preserve">Moderately right-skewed. Most orders incur low shipping costs (median $5.99), but Delivery Truck orders can reach $126, creating a moderate right tail. This skew is expected given that Delivery Truck is used for a minority of orders but carries significantly higher costs.</w:t>
      </w:r>
    </w:p>
    <w:p>
      <w:pPr>
        <w:spacing w:after="80" w:before="80"/>
        <w:jc w:val="both"/>
      </w:pPr>
      <w:r>
        <w:rPr>
          <w:rFonts w:ascii="Arial" w:cs="Arial" w:eastAsia="Arial" w:hAnsi="Arial"/>
          <w:b/>
          <w:bCs/>
          <w:color w:val="1F2937"/>
          <w:sz w:val="22"/>
          <w:szCs w:val="22"/>
        </w:rPr>
        <w:t xml:space="preserve">Order Quantity (Skewness = 0.02) and Discount (Skewness = 0.18). </w:t>
      </w:r>
      <w:r>
        <w:rPr>
          <w:rFonts w:ascii="Arial" w:cs="Arial" w:eastAsia="Arial" w:hAnsi="Arial"/>
          <w:color w:val="1F2937"/>
          <w:sz w:val="22"/>
          <w:szCs w:val="22"/>
        </w:rPr>
        <w:t xml:space="preserve">Both are approximately symmetric, with skewness values close to zero. Order Quantity is the most normally distributed variable in the dataset, which explains why the mean (25.1) and median (25) are virtually identical. Discount is similarly balanced, consistent with the policy-driven discount structure where values are evenly spread across the defined tiers.</w:t>
      </w:r>
    </w:p>
    <w:p>
      <w:pPr>
        <w:shd w:fill="E8F4FD" w:val="clear"/>
        <w:spacing w:after="120" w:before="120"/>
        <w:ind w:left="360" w:right="360"/>
      </w:pPr>
      <w:r>
        <w:rPr>
          <w:rFonts w:ascii="Arial" w:cs="Arial" w:eastAsia="Arial" w:hAnsi="Arial"/>
          <w:b/>
          <w:bCs/>
          <w:color w:val="2E75B6"/>
          <w:sz w:val="22"/>
          <w:szCs w:val="22"/>
        </w:rPr>
        <w:t xml:space="preserve">Analytical Implication: </w:t>
      </w:r>
      <w:r>
        <w:rPr>
          <w:rFonts w:ascii="Arial" w:cs="Arial" w:eastAsia="Arial" w:hAnsi="Arial"/>
          <w:color w:val="1F2937"/>
          <w:sz w:val="22"/>
          <w:szCs w:val="22"/>
        </w:rPr>
        <w:t xml:space="preserve">The strong positive skew in both Sales and Profit means that standard parametric tests that assume a normal distribution (such as a simple linear regression across all orders) will underestimate the influence of high-value outliers. This is why the discount band breakeven analysis in Section 4.3 provides a more reliable picture than the overall trendline alone. For future analysis, log-transforming Sales and Profit before regression would reduce skew and produce more reliable model coefficients.</w:t>
      </w:r>
    </w:p>
    <w:p>
      <w:pPr>
        <w:spacing w:after="0" w:before="60"/>
      </w:pPr>
      <w:r>
        <w:t xml:space="preserve"/>
      </w:r>
    </w:p>
    <w:p>
      <w:pPr>
        <w:pBdr>
          <w:top w:val="dashed" w:color="E67E22" w:sz="2"/>
          <w:bottom w:val="dashed" w:color="E67E22" w:sz="2"/>
          <w:left w:val="dashed" w:color="E67E22" w:sz="2"/>
          <w:right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Sales &amp; Profit Trend Line Chart | Profit by Region and Category Bar Chart | Top 15 States by Total Sales Bar Chart on Dashboard</w:t>
      </w:r>
    </w:p>
    <w:p>
      <w:pPr>
        <w:pBdr>
          <w:bottom w:val="single" w:color="CCCCCC" w:sz="2" w:space="1"/>
        </w:pBdr>
        <w:spacing w:after="160" w:before="16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4.2 Top Customer Analysis: Sales vs Profit</w:t>
      </w:r>
    </w:p>
    <w:p>
      <w:pPr>
        <w:spacing w:after="80" w:before="80"/>
        <w:jc w:val="both"/>
      </w:pPr>
      <w:r>
        <w:rPr>
          <w:rFonts w:ascii="Arial" w:cs="Arial" w:eastAsia="Arial" w:hAnsi="Arial"/>
          <w:color w:val="1F2937"/>
          <w:sz w:val="22"/>
          <w:szCs w:val="22"/>
        </w:rPr>
        <w:t xml:space="preserve">Cross-referencing the Top 10 customers by Sales against the Top 10 customers by Profit produces one of the most commercially important findings in the entire analysis. Only 5 of the 10 highest-revenue customers also appear in the top 10 most profitable customers. The other 5 high-revenue customers either make modest profits or actively lose money. This split is the clearest evidence in the dataset that revenue and profitability are not the same thing.</w:t>
      </w:r>
    </w:p>
    <w:p>
      <w:pPr>
        <w:spacing w:after="80" w:before="200"/>
      </w:pPr>
      <w:r>
        <w:rPr>
          <w:rFonts w:ascii="Arial" w:cs="Arial" w:eastAsia="Arial" w:hAnsi="Arial"/>
          <w:b/>
          <w:bCs/>
          <w:color w:val="2E75B6"/>
          <w:sz w:val="24"/>
          <w:szCs w:val="24"/>
        </w:rPr>
        <w:t xml:space="preserve">Customers in Both Top 10 Lists (High Value Customers)</w:t>
      </w:r>
    </w:p>
    <w:p>
      <w:pPr>
        <w:spacing w:after="80" w:before="80"/>
        <w:jc w:val="both"/>
      </w:pPr>
      <w:r>
        <w:rPr>
          <w:rFonts w:ascii="Arial" w:cs="Arial" w:eastAsia="Arial" w:hAnsi="Arial"/>
          <w:color w:val="1F2937"/>
          <w:sz w:val="22"/>
          <w:szCs w:val="22"/>
        </w:rPr>
        <w:t xml:space="preserve">Five customers appear in both rankings. These are the genuinely high-value accounts: they generate strong revenue and convert it into profit efficiently. All five share similar characteristics: average discounts between 4% and 7%, a dominant spend in Technology or Office Supplies, and a small number of high-value orders rather than high order frequency.</w:t>
      </w:r>
    </w:p>
    <w:p>
      <w:pPr>
        <w:spacing w:after="80" w:before="80"/>
        <w:jc w:val="both"/>
      </w:pPr>
      <w:r>
        <w:rPr>
          <w:rFonts w:ascii="Arial" w:cs="Arial" w:eastAsia="Arial" w:hAnsi="Arial"/>
          <w:b/>
          <w:bCs/>
          <w:color w:val="1A7A4A"/>
          <w:sz w:val="22"/>
          <w:szCs w:val="22"/>
        </w:rPr>
        <w:t xml:space="preserve">Andy Reiter: </w:t>
      </w:r>
      <w:r>
        <w:rPr>
          <w:rFonts w:ascii="Arial" w:cs="Arial" w:eastAsia="Arial" w:hAnsi="Arial"/>
          <w:color w:val="1F2937"/>
          <w:sz w:val="22"/>
          <w:szCs w:val="22"/>
        </w:rPr>
        <w:t xml:space="preserve">Sales rank 10 ($29,702) but Profit rank 1 ($14,328). Profit margin of 48.2%, the highest of any customer in both lists. Andy Reiter is the single most commercially valuable customer in the dataset despite not being the largest spender. Only 5 orders, Corporate segment, South region, primarily Technology purchases with an average discount of just 4.6%.</w:t>
      </w:r>
    </w:p>
    <w:p>
      <w:pPr>
        <w:spacing w:after="80" w:before="80"/>
        <w:jc w:val="both"/>
      </w:pPr>
      <w:r>
        <w:rPr>
          <w:rFonts w:ascii="Arial" w:cs="Arial" w:eastAsia="Arial" w:hAnsi="Arial"/>
          <w:b/>
          <w:bCs/>
          <w:color w:val="1A7A4A"/>
          <w:sz w:val="22"/>
          <w:szCs w:val="22"/>
        </w:rPr>
        <w:t xml:space="preserve">John Stevenson: </w:t>
      </w:r>
      <w:r>
        <w:rPr>
          <w:rFonts w:ascii="Arial" w:cs="Arial" w:eastAsia="Arial" w:hAnsi="Arial"/>
          <w:color w:val="1F2937"/>
          <w:sz w:val="22"/>
          <w:szCs w:val="22"/>
        </w:rPr>
        <w:t xml:space="preserve">Sales rank 6 ($34,062) and Profit rank 2 ($12,629). Profit margin of 37.1%. Small Business segment in the East region, with Office Supplies as the primary category and a low average discount of 4.2% across just 5 orders.</w:t>
      </w:r>
    </w:p>
    <w:p>
      <w:pPr>
        <w:spacing w:after="80" w:before="80"/>
        <w:jc w:val="both"/>
      </w:pPr>
      <w:r>
        <w:rPr>
          <w:rFonts w:ascii="Arial" w:cs="Arial" w:eastAsia="Arial" w:hAnsi="Arial"/>
          <w:b/>
          <w:bCs/>
          <w:color w:val="1A7A4A"/>
          <w:sz w:val="22"/>
          <w:szCs w:val="22"/>
        </w:rPr>
        <w:t xml:space="preserve">Jack O'Briant: </w:t>
      </w:r>
      <w:r>
        <w:rPr>
          <w:rFonts w:ascii="Arial" w:cs="Arial" w:eastAsia="Arial" w:hAnsi="Arial"/>
          <w:color w:val="1F2937"/>
          <w:sz w:val="22"/>
          <w:szCs w:val="22"/>
        </w:rPr>
        <w:t xml:space="preserve">Sales rank 2 ($41,651) and Profit rank 3 ($11,665). Profit margin of 28.0%. Consumer segment in the Central region, Technology focus, with a slightly higher average discount of 6.7% across 6 orders.</w:t>
      </w:r>
    </w:p>
    <w:p>
      <w:pPr>
        <w:spacing w:after="80" w:before="80"/>
        <w:jc w:val="both"/>
      </w:pPr>
      <w:r>
        <w:rPr>
          <w:rFonts w:ascii="Arial" w:cs="Arial" w:eastAsia="Arial" w:hAnsi="Arial"/>
          <w:b/>
          <w:bCs/>
          <w:color w:val="1A7A4A"/>
          <w:sz w:val="22"/>
          <w:szCs w:val="22"/>
        </w:rPr>
        <w:t xml:space="preserve">Noel Staavos: </w:t>
      </w:r>
      <w:r>
        <w:rPr>
          <w:rFonts w:ascii="Arial" w:cs="Arial" w:eastAsia="Arial" w:hAnsi="Arial"/>
          <w:color w:val="1F2937"/>
          <w:sz w:val="22"/>
          <w:szCs w:val="22"/>
        </w:rPr>
        <w:t xml:space="preserve">Sales rank 3 ($38,751) and Profit rank 4 ($10,202). Profit margin of 26.3%. Home Office segment in the East region, Technology focus, with a low average discount of 4.2% across 5 orders.</w:t>
      </w:r>
    </w:p>
    <w:p>
      <w:pPr>
        <w:spacing w:after="80" w:before="80"/>
        <w:jc w:val="both"/>
      </w:pPr>
      <w:r>
        <w:rPr>
          <w:rFonts w:ascii="Arial" w:cs="Arial" w:eastAsia="Arial" w:hAnsi="Arial"/>
          <w:b/>
          <w:bCs/>
          <w:color w:val="1A7A4A"/>
          <w:sz w:val="22"/>
          <w:szCs w:val="22"/>
        </w:rPr>
        <w:t xml:space="preserve">Todd Boyes: </w:t>
      </w:r>
      <w:r>
        <w:rPr>
          <w:rFonts w:ascii="Arial" w:cs="Arial" w:eastAsia="Arial" w:hAnsi="Arial"/>
          <w:color w:val="1F2937"/>
          <w:sz w:val="22"/>
          <w:szCs w:val="22"/>
        </w:rPr>
        <w:t xml:space="preserve">Sales rank 7 ($32,516) and Profit rank 8 ($8,061). Profit margin of 24.8%. The only customer in both lists with 14 orders, the highest frequency of the group. Small Business segment in the Central region, with Furniture as the primary category. Despite a relatively modest margin, the volume of orders makes this a commercially important account to retain.</w:t>
      </w:r>
    </w:p>
    <w:p>
      <w:pPr>
        <w:spacing w:after="80" w:before="200"/>
      </w:pPr>
      <w:r>
        <w:rPr>
          <w:rFonts w:ascii="Arial" w:cs="Arial" w:eastAsia="Arial" w:hAnsi="Arial"/>
          <w:b/>
          <w:bCs/>
          <w:color w:val="2E75B6"/>
          <w:sz w:val="24"/>
          <w:szCs w:val="24"/>
        </w:rPr>
        <w:t xml:space="preserve">High Revenue Customers Not in Top Profit List (Revenue Without Return)</w:t>
      </w:r>
    </w:p>
    <w:p>
      <w:pPr>
        <w:spacing w:after="80" w:before="80"/>
        <w:jc w:val="both"/>
      </w:pPr>
      <w:r>
        <w:rPr>
          <w:rFonts w:ascii="Arial" w:cs="Arial" w:eastAsia="Arial" w:hAnsi="Arial"/>
          <w:color w:val="1F2937"/>
          <w:sz w:val="22"/>
          <w:szCs w:val="22"/>
        </w:rPr>
        <w:t xml:space="preserve">Five customers in the top 10 by sales do not appear in the top 10 by profit. Two of these are actively loss-making despite generating substantial revenue, which represents a direct risk to profitability.</w:t>
      </w:r>
    </w:p>
    <w:p>
      <w:pPr>
        <w:spacing w:after="80" w:before="80"/>
        <w:jc w:val="both"/>
      </w:pPr>
      <w:r>
        <w:rPr>
          <w:rFonts w:ascii="Arial" w:cs="Arial" w:eastAsia="Arial" w:hAnsi="Arial"/>
          <w:b/>
          <w:bCs/>
          <w:color w:val="C0392B"/>
          <w:sz w:val="22"/>
          <w:szCs w:val="22"/>
        </w:rPr>
        <w:t xml:space="preserve">Jasper Cacioppo: </w:t>
      </w:r>
      <w:r>
        <w:rPr>
          <w:rFonts w:ascii="Arial" w:cs="Arial" w:eastAsia="Arial" w:hAnsi="Arial"/>
          <w:color w:val="1F2937"/>
          <w:sz w:val="22"/>
          <w:szCs w:val="22"/>
        </w:rPr>
        <w:t xml:space="preserve">The single largest customer by sales ($48,135, rank 1) but generates a net loss of -$2,228, a margin of -4.6%. This is the starkest example of revenue without profit in the entire dataset. Serving this customer costs the business more than they generate. A pricing review or discount restriction is warranted as an immediate priority.</w:t>
      </w:r>
    </w:p>
    <w:p>
      <w:pPr>
        <w:spacing w:after="80" w:before="80"/>
        <w:jc w:val="both"/>
      </w:pPr>
      <w:r>
        <w:rPr>
          <w:rFonts w:ascii="Arial" w:cs="Arial" w:eastAsia="Arial" w:hAnsi="Arial"/>
          <w:b/>
          <w:bCs/>
          <w:color w:val="C0392B"/>
          <w:sz w:val="22"/>
          <w:szCs w:val="22"/>
        </w:rPr>
        <w:t xml:space="preserve">Maribeth Dona: </w:t>
      </w:r>
      <w:r>
        <w:rPr>
          <w:rFonts w:ascii="Arial" w:cs="Arial" w:eastAsia="Arial" w:hAnsi="Arial"/>
          <w:color w:val="1F2937"/>
          <w:sz w:val="22"/>
          <w:szCs w:val="22"/>
        </w:rPr>
        <w:t xml:space="preserve">Sales rank 4 ($36,091) with a net loss of -$3,618 and a margin of -10.0%. The worst profit margin of any top-10 revenue customer. Despite being a high-volume account, every order on average loses money.</w:t>
      </w:r>
    </w:p>
    <w:p>
      <w:pPr>
        <w:spacing w:after="80" w:before="80"/>
        <w:jc w:val="both"/>
      </w:pPr>
      <w:r>
        <w:rPr>
          <w:rFonts w:ascii="Arial" w:cs="Arial" w:eastAsia="Arial" w:hAnsi="Arial"/>
          <w:b/>
          <w:bCs/>
          <w:color w:val="E67E22"/>
          <w:sz w:val="22"/>
          <w:szCs w:val="22"/>
        </w:rPr>
        <w:t xml:space="preserve">Christopher Martinez, Roy Skaria, Karl Brown: </w:t>
      </w:r>
      <w:r>
        <w:rPr>
          <w:rFonts w:ascii="Arial" w:cs="Arial" w:eastAsia="Arial" w:hAnsi="Arial"/>
          <w:color w:val="1F2937"/>
          <w:sz w:val="22"/>
          <w:szCs w:val="22"/>
        </w:rPr>
        <w:t xml:space="preserve">These three customers generate positive but modest margins of 15% to 22%, below the business average of 10.19% on a per-order basis and below the high-value customer group. They are commercially acceptable but not strategic priorities for retention investment.</w:t>
      </w:r>
    </w:p>
    <w:p>
      <w:pPr>
        <w:shd w:fill="E8F4FD" w:val="clear"/>
        <w:spacing w:after="120" w:before="120"/>
        <w:ind w:left="360" w:right="360"/>
      </w:pPr>
      <w:r>
        <w:rPr>
          <w:rFonts w:ascii="Arial" w:cs="Arial" w:eastAsia="Arial" w:hAnsi="Arial"/>
          <w:b/>
          <w:bCs/>
          <w:color w:val="2E75B6"/>
          <w:sz w:val="22"/>
          <w:szCs w:val="22"/>
        </w:rPr>
        <w:t xml:space="preserve">Key Takeaway: </w:t>
      </w:r>
      <w:r>
        <w:rPr>
          <w:rFonts w:ascii="Arial" w:cs="Arial" w:eastAsia="Arial" w:hAnsi="Arial"/>
          <w:color w:val="1F2937"/>
          <w:sz w:val="22"/>
          <w:szCs w:val="22"/>
        </w:rPr>
        <w:t xml:space="preserve">The five customers who appear in both top lists share a common profile: low average discounts (4% to 7%), Technology or Office Supplies as their primary category, and a small number of high-value orders rather than frequent small ones. The two loss-making customers (Jasper Cacioppo and Maribeth Dona) deviate from this profile. Matching new customers to the high-value profile and adjusting terms for loss-making accounts are the most targeted commercial actions available from this analysis.</w:t>
      </w:r>
    </w:p>
    <w:p>
      <w:pPr>
        <w:pBdr>
          <w:top w:val="dashed" w:color="E67E22" w:sz="2"/>
          <w:bottom w:val="dashed" w:color="E67E22" w:sz="2"/>
          <w:left w:val="dashed" w:color="E67E22" w:sz="2"/>
          <w:right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Top 15 States by Total Sales Bar Chart | Linear Regression for Sales and Price Scatter Chart on Dashboard</w:t>
      </w:r>
    </w:p>
    <w:p>
      <w:pPr>
        <w:pBdr>
          <w:bottom w:val="single" w:color="CCCCCC" w:sz="2" w:space="1"/>
        </w:pBdr>
        <w:spacing w:after="160" w:before="160"/>
      </w:pPr>
      <w:r>
        <w:t xml:space="preserve"/>
      </w:r>
    </w:p>
    <w:p>
      <w:pPr>
        <w:pBdr>
          <w:bottom w:val="single" w:color="2E75B6" w:sz="4" w:space="2"/>
        </w:pBdr>
        <w:spacing w:after="100" w:before="280"/>
      </w:pPr>
      <w:r>
        <w:rPr>
          <w:rFonts w:ascii="Arial" w:cs="Arial" w:eastAsia="Arial" w:hAnsi="Arial"/>
          <w:b/>
          <w:bCs/>
          <w:color w:val="1F3864"/>
          <w:sz w:val="28"/>
          <w:szCs w:val="28"/>
        </w:rPr>
        <w:t xml:space="preserve">4.3 Correlation Analysis</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100"/>
        <w:gridCol w:w="1270"/>
        <w:gridCol w:w="1270"/>
        <w:gridCol w:w="1270"/>
        <w:gridCol w:w="1270"/>
        <w:gridCol w:w="1270"/>
        <w:gridCol w:w="127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Sales</w:t>
            </w:r>
          </w:p>
        </w:tc>
        <w:tc>
          <w:tcPr>
            <w:tcW w:type="dxa" w:w="12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Profit</w:t>
            </w:r>
          </w:p>
        </w:tc>
        <w:tc>
          <w:tcPr>
            <w:tcW w:type="dxa" w:w="12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Discount</w:t>
            </w:r>
          </w:p>
        </w:tc>
        <w:tc>
          <w:tcPr>
            <w:tcW w:type="dxa" w:w="12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Quantity</w:t>
            </w:r>
          </w:p>
        </w:tc>
        <w:tc>
          <w:tcPr>
            <w:tcW w:type="dxa" w:w="12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Ship Cost</w:t>
            </w:r>
          </w:p>
        </w:tc>
        <w:tc>
          <w:tcPr>
            <w:tcW w:type="dxa" w:w="12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Price</w:t>
            </w:r>
          </w:p>
        </w:tc>
      </w:tr>
      <w:tr>
        <w:trPr>
          <w:tblHeader w:val="false"/>
        </w:trP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Sales</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2937"/>
                <w:sz w:val="20"/>
                <w:szCs w:val="20"/>
              </w:rPr>
              <w:t xml:space="preserve">1.000</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0.648</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-0.003</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0.235</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0.425</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0.711</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Profit</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0.648</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F2937"/>
                <w:sz w:val="20"/>
                <w:szCs w:val="20"/>
              </w:rPr>
              <w:t xml:space="preserve">1.000</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-0.060</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0.190</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-0.023</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0.200</w:t>
            </w:r>
          </w:p>
        </w:tc>
      </w:tr>
      <w:tr>
        <w:trPr>
          <w:tblHeader w:val="false"/>
        </w:trP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Discount</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-0.003</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-0.060</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2937"/>
                <w:sz w:val="20"/>
                <w:szCs w:val="20"/>
              </w:rPr>
              <w:t xml:space="preserve">1.000</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0.051</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0.051</w:t>
            </w:r>
          </w:p>
        </w:tc>
        <w:tc>
          <w:tcPr>
            <w:tcW w:type="dxa" w:w="12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0.028</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Unit Price</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0.711</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0.200</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0.028</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-0.074</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0.254</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F2937"/>
                <w:sz w:val="20"/>
                <w:szCs w:val="20"/>
              </w:rPr>
              <w:t xml:space="preserve">1.000</w:t>
            </w:r>
          </w:p>
        </w:tc>
      </w:tr>
    </w:tbl>
    <w:p>
      <w:pPr>
        <w:spacing w:after="0" w:before="100"/>
      </w:pPr>
      <w:r>
        <w:t xml:space="preserve"/>
      </w:r>
    </w:p>
    <w:p>
      <w:pPr>
        <w:spacing w:after="80" w:before="200"/>
      </w:pPr>
      <w:r>
        <w:rPr>
          <w:rFonts w:ascii="Arial" w:cs="Arial" w:eastAsia="Arial" w:hAnsi="Arial"/>
          <w:b/>
          <w:bCs/>
          <w:color w:val="2E75B6"/>
          <w:sz w:val="24"/>
          <w:szCs w:val="24"/>
        </w:rPr>
        <w:t xml:space="preserve">Trends and Patterns in Correlation Statistics</w:t>
      </w:r>
    </w:p>
    <w:p>
      <w:pPr>
        <w:spacing w:after="0" w:before="60"/>
      </w:pPr>
      <w:r>
        <w:t xml:space="preserve"/>
      </w:r>
    </w:p>
    <w:p>
      <w:pPr>
        <w:spacing w:after="80" w:before="80"/>
        <w:jc w:val="both"/>
      </w:pPr>
      <w:r>
        <w:rPr>
          <w:rFonts w:ascii="Arial" w:cs="Arial" w:eastAsia="Arial" w:hAnsi="Arial"/>
          <w:b/>
          <w:bCs/>
          <w:color w:val="1F2937"/>
          <w:sz w:val="22"/>
          <w:szCs w:val="22"/>
        </w:rPr>
        <w:t xml:space="preserve">Sales and Profit show a moderate-strong positive correlation (r = 0.648). </w:t>
      </w:r>
      <w:r>
        <w:rPr>
          <w:rFonts w:ascii="Arial" w:cs="Arial" w:eastAsia="Arial" w:hAnsi="Arial"/>
          <w:color w:val="1F2937"/>
          <w:sz w:val="22"/>
          <w:szCs w:val="22"/>
        </w:rPr>
        <w:t xml:space="preserve">This confirms that higher revenue orders tend to generate more profit, but the relationship is not one-to-one. The gap between this correlation and a perfect 1.0 reflects the influence of variable discounts, shipping costs, and product mix on net margin.</w:t>
      </w:r>
    </w:p>
    <w:p>
      <w:pPr>
        <w:spacing w:after="0" w:before="60"/>
      </w:pPr>
      <w:r>
        <w:t xml:space="preserve"/>
      </w:r>
    </w:p>
    <w:p>
      <w:pPr>
        <w:spacing w:after="80" w:before="80"/>
        <w:jc w:val="both"/>
      </w:pPr>
      <w:r>
        <w:rPr>
          <w:rFonts w:ascii="Arial" w:cs="Arial" w:eastAsia="Arial" w:hAnsi="Arial"/>
          <w:b/>
          <w:bCs/>
          <w:color w:val="1F2937"/>
          <w:sz w:val="22"/>
          <w:szCs w:val="22"/>
        </w:rPr>
        <w:t xml:space="preserve">Unit Price is the strongest predictor of Sales (r = 0.711). </w:t>
      </w:r>
      <w:r>
        <w:rPr>
          <w:rFonts w:ascii="Arial" w:cs="Arial" w:eastAsia="Arial" w:hAnsi="Arial"/>
          <w:color w:val="1F2937"/>
          <w:sz w:val="22"/>
          <w:szCs w:val="22"/>
        </w:rPr>
        <w:t xml:space="preserve">This is the highest correlation in the entire matrix. It tells us that the primary driver of revenue is not volume of orders or quantity per order, but the price point of the product being sold. High-value items such as Technology products drive a disproportionate share of total revenue.</w:t>
      </w:r>
    </w:p>
    <w:p>
      <w:pPr>
        <w:spacing w:after="0" w:before="60"/>
      </w:pPr>
      <w:r>
        <w:t xml:space="preserve"/>
      </w:r>
    </w:p>
    <w:p>
      <w:pPr>
        <w:spacing w:after="80" w:before="80"/>
        <w:jc w:val="both"/>
      </w:pPr>
      <w:r>
        <w:rPr>
          <w:rFonts w:ascii="Arial" w:cs="Arial" w:eastAsia="Arial" w:hAnsi="Arial"/>
          <w:b/>
          <w:bCs/>
          <w:color w:val="1F2937"/>
          <w:sz w:val="22"/>
          <w:szCs w:val="22"/>
        </w:rPr>
        <w:t xml:space="preserve">Discount has a near-zero correlation with Sales (r = -0.003). </w:t>
      </w:r>
      <w:r>
        <w:rPr>
          <w:rFonts w:ascii="Arial" w:cs="Arial" w:eastAsia="Arial" w:hAnsi="Arial"/>
          <w:color w:val="1F2937"/>
          <w:sz w:val="22"/>
          <w:szCs w:val="22"/>
        </w:rPr>
        <w:t xml:space="preserve">Discounting does not appear to drive order volume. This is a commercially important finding: discounts are being applied without evidence that they generate incremental sales. If discounts are not stimulating demand, they represent a direct reduction in margin with no offsetting revenue benefit.</w:t>
      </w:r>
    </w:p>
    <w:p>
      <w:pPr>
        <w:spacing w:after="0" w:before="60"/>
      </w:pPr>
      <w:r>
        <w:t xml:space="preserve"/>
      </w:r>
    </w:p>
    <w:p>
      <w:pPr>
        <w:spacing w:after="80" w:before="80"/>
        <w:jc w:val="both"/>
      </w:pPr>
      <w:r>
        <w:rPr>
          <w:rFonts w:ascii="Arial" w:cs="Arial" w:eastAsia="Arial" w:hAnsi="Arial"/>
          <w:b/>
          <w:bCs/>
          <w:color w:val="1F2937"/>
          <w:sz w:val="22"/>
          <w:szCs w:val="22"/>
        </w:rPr>
        <w:t xml:space="preserve">Discount has a weak negative correlation with Profit (r = -0.060). </w:t>
      </w:r>
      <w:r>
        <w:rPr>
          <w:rFonts w:ascii="Arial" w:cs="Arial" w:eastAsia="Arial" w:hAnsi="Arial"/>
          <w:color w:val="1F2937"/>
          <w:sz w:val="22"/>
          <w:szCs w:val="22"/>
        </w:rPr>
        <w:t xml:space="preserve">The correlation is statistically weak, which seems counterintuitive. However, this is explained by the discount band analysis in Section 4.3: the harmful effect of discounting is concentrated at the highest discount tier (25%), while moderate discounts (1 to 10%) have a more muted impact. Averaging these effects across all orders produces a weak overall correlation.</w:t>
      </w:r>
    </w:p>
    <w:p>
      <w:pPr>
        <w:spacing w:after="0" w:before="60"/>
      </w:pPr>
      <w:r>
        <w:t xml:space="preserve"/>
      </w:r>
    </w:p>
    <w:p>
      <w:pPr>
        <w:spacing w:after="80" w:before="80"/>
        <w:jc w:val="both"/>
      </w:pPr>
      <w:r>
        <w:rPr>
          <w:rFonts w:ascii="Arial" w:cs="Arial" w:eastAsia="Arial" w:hAnsi="Arial"/>
          <w:b/>
          <w:bCs/>
          <w:color w:val="1F2937"/>
          <w:sz w:val="22"/>
          <w:szCs w:val="22"/>
        </w:rPr>
        <w:t xml:space="preserve">Shipping Cost has no meaningful correlation with Profit (r = -0.023). </w:t>
      </w:r>
      <w:r>
        <w:rPr>
          <w:rFonts w:ascii="Arial" w:cs="Arial" w:eastAsia="Arial" w:hAnsi="Arial"/>
          <w:color w:val="1F2937"/>
          <w:sz w:val="22"/>
          <w:szCs w:val="22"/>
        </w:rPr>
        <w:t xml:space="preserve">Despite shipping cost being a direct deduction from profit, the near-zero correlation suggests that higher-shipping-cost orders tend to be higher-value orders that absorb the cost. This means shipping cost management, while important, is not the primary lever for improving profitability.</w:t>
      </w:r>
    </w:p>
    <w:p>
      <w:pPr>
        <w:spacing w:after="0" w:before="60"/>
      </w:pPr>
      <w:r>
        <w:t xml:space="preserve"/>
      </w:r>
    </w:p>
    <w:p>
      <w:pPr>
        <w:spacing w:after="80" w:before="80"/>
        <w:jc w:val="both"/>
      </w:pPr>
      <w:r>
        <w:rPr>
          <w:rFonts w:ascii="Arial" w:cs="Arial" w:eastAsia="Arial" w:hAnsi="Arial"/>
          <w:b/>
          <w:bCs/>
          <w:color w:val="1F2937"/>
          <w:sz w:val="22"/>
          <w:szCs w:val="22"/>
        </w:rPr>
        <w:t xml:space="preserve">Order Quantity shows weak positive correlations with both Sales (r = 0.235) and Profit (r = 0.190). </w:t>
      </w:r>
      <w:r>
        <w:rPr>
          <w:rFonts w:ascii="Arial" w:cs="Arial" w:eastAsia="Arial" w:hAnsi="Arial"/>
          <w:color w:val="1F2937"/>
          <w:sz w:val="22"/>
          <w:szCs w:val="22"/>
        </w:rPr>
        <w:t xml:space="preserve">Volume matters, but only modestly. Selling more units of a low-margin product does not reliably improve profitability. The focus should be on product mix and pricing rather than volume alone.</w:t>
      </w:r>
    </w:p>
    <w:p>
      <w:pPr>
        <w:spacing w:after="0" w:before="60"/>
      </w:pPr>
      <w:r>
        <w:t xml:space="preserve"/>
      </w:r>
    </w:p>
    <w:p>
      <w:pPr>
        <w:pBdr>
          <w:top w:val="dashed" w:color="E67E22" w:sz="2"/>
          <w:bottom w:val="dashed" w:color="E67E22" w:sz="2"/>
          <w:left w:val="dashed" w:color="E67E22" w:sz="2"/>
          <w:right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Scatter Plot: Discount vs Profit with linear trendline on Dashboard</w:t>
      </w:r>
    </w:p>
    <w:p>
      <w:pPr>
        <w:pBdr>
          <w:bottom w:val="single" w:color="CCCCCC" w:sz="2" w:space="1"/>
        </w:pBdr>
        <w:spacing w:after="160" w:before="16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4.4 Linear Regression: Discount vs Profit</w:t>
      </w:r>
    </w:p>
    <w:p>
      <w:pPr>
        <w:spacing w:after="0" w:before="60"/>
      </w:pPr>
      <w:r>
        <w:t xml:space="preserve"/>
      </w:r>
    </w:p>
    <w:p>
      <w:pPr>
        <w:spacing w:after="80" w:before="80"/>
        <w:jc w:val="both"/>
      </w:pPr>
      <w:r>
        <w:rPr>
          <w:rFonts w:ascii="Arial" w:cs="Arial" w:eastAsia="Arial" w:hAnsi="Arial"/>
          <w:color w:val="1F2937"/>
          <w:sz w:val="22"/>
          <w:szCs w:val="22"/>
        </w:rPr>
        <w:t xml:space="preserve">A scatter plot was built in Excel plotting each order's Discount rate on the X axis against its Profit on the Y axis. A linear trendline was added with the R-squared value displayed.</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Discount Band</w:t>
            </w:r>
          </w:p>
        </w:tc>
        <w:tc>
          <w:tcPr>
            <w:tcW w:type="dxa" w:w="2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Profit ($)</w:t>
            </w:r>
          </w:p>
        </w:tc>
        <w:tc>
          <w:tcPr>
            <w:tcW w:type="dxa" w:w="2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Orders</w:t>
            </w:r>
          </w:p>
        </w:tc>
        <w:tc>
          <w:tcPr>
            <w:tcW w:type="dxa" w:w="2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r>
      <w:tr>
        <w:trPr>
          <w:tblHeader w:val="false"/>
        </w:trP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0% to 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+$251.68</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High volume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Profitable</w:t>
            </w:r>
          </w:p>
        </w:tc>
      </w:tr>
      <w:tr>
        <w:trPr>
          <w:tblHeader w:val="false"/>
        </w:trPr>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5% to 10%</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E67E22"/>
                <w:sz w:val="20"/>
                <w:szCs w:val="20"/>
              </w:rPr>
              <w:t xml:space="preserve">+$124.75</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High volume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E67E22"/>
                <w:sz w:val="20"/>
                <w:szCs w:val="20"/>
              </w:rPr>
              <w:t xml:space="preserve">Borderline</w:t>
            </w:r>
          </w:p>
        </w:tc>
      </w:tr>
      <w:tr>
        <w:trPr>
          <w:tblHeader w:val="false"/>
        </w:trP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10% to 15%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67E22"/>
                <w:sz w:val="20"/>
                <w:szCs w:val="20"/>
              </w:rPr>
              <w:t xml:space="preserve">+$98.44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Moderate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67E22"/>
                <w:sz w:val="20"/>
                <w:szCs w:val="20"/>
              </w:rPr>
              <w:t xml:space="preserve">Borderline</w:t>
            </w:r>
          </w:p>
        </w:tc>
      </w:tr>
      <w:tr>
        <w:trPr>
          <w:tblHeader w:val="false"/>
        </w:trPr>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15% and above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-$481.04</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Low volume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Loss-making</w:t>
            </w:r>
          </w:p>
        </w:tc>
      </w:tr>
    </w:tbl>
    <w:p>
      <w:pPr>
        <w:spacing w:after="0" w:before="100"/>
      </w:pPr>
      <w:r>
        <w:t xml:space="preserve"/>
      </w:r>
    </w:p>
    <w:p>
      <w:pPr>
        <w:spacing w:after="80" w:before="200"/>
      </w:pPr>
      <w:r>
        <w:rPr>
          <w:rFonts w:ascii="Arial" w:cs="Arial" w:eastAsia="Arial" w:hAnsi="Arial"/>
          <w:b/>
          <w:bCs/>
          <w:color w:val="2E75B6"/>
          <w:sz w:val="24"/>
          <w:szCs w:val="24"/>
        </w:rPr>
        <w:t xml:space="preserve">Trends and Patterns in Linear Regression</w:t>
      </w:r>
    </w:p>
    <w:p>
      <w:pPr>
        <w:spacing w:after="0" w:before="60"/>
      </w:pPr>
      <w:r>
        <w:t xml:space="preserve"/>
      </w:r>
    </w:p>
    <w:p>
      <w:pPr>
        <w:spacing w:after="80" w:before="80"/>
        <w:jc w:val="both"/>
      </w:pPr>
      <w:r>
        <w:rPr>
          <w:rFonts w:ascii="Arial" w:cs="Arial" w:eastAsia="Arial" w:hAnsi="Arial"/>
          <w:b/>
          <w:bCs/>
          <w:color w:val="1F2937"/>
          <w:sz w:val="22"/>
          <w:szCs w:val="22"/>
        </w:rPr>
        <w:t xml:space="preserve">The overall trendline is nearly flat. </w:t>
      </w:r>
      <w:r>
        <w:rPr>
          <w:rFonts w:ascii="Arial" w:cs="Arial" w:eastAsia="Arial" w:hAnsi="Arial"/>
          <w:color w:val="1F2937"/>
          <w:sz w:val="22"/>
          <w:szCs w:val="22"/>
        </w:rPr>
        <w:t xml:space="preserve">The linear regression across all discount levels produces a slope close to zero and a low R-squared value. Taken at face value this suggests discount rate is not a reliable predictor of profit. However, this finding requires careful interpretation.</w:t>
      </w:r>
    </w:p>
    <w:p>
      <w:pPr>
        <w:spacing w:after="0" w:before="60"/>
      </w:pPr>
      <w:r>
        <w:t xml:space="preserve"/>
      </w:r>
    </w:p>
    <w:p>
      <w:pPr>
        <w:spacing w:after="80" w:before="80"/>
        <w:jc w:val="both"/>
      </w:pPr>
      <w:r>
        <w:rPr>
          <w:rFonts w:ascii="Arial" w:cs="Arial" w:eastAsia="Arial" w:hAnsi="Arial"/>
          <w:b/>
          <w:bCs/>
          <w:color w:val="1F2937"/>
          <w:sz w:val="22"/>
          <w:szCs w:val="22"/>
        </w:rPr>
        <w:t xml:space="preserve">The flat trendline masks a threshold effect. </w:t>
      </w:r>
      <w:r>
        <w:rPr>
          <w:rFonts w:ascii="Arial" w:cs="Arial" w:eastAsia="Arial" w:hAnsi="Arial"/>
          <w:color w:val="1F2937"/>
          <w:sz w:val="22"/>
          <w:szCs w:val="22"/>
        </w:rPr>
        <w:t xml:space="preserve">When orders are grouped into discount bands rather than plotted individually, a clear and economically significant pattern emerges. Profitability degrades steadily from $251 average profit at 0 to 5% discount down to $98 at 10 to 15%, before collapsing to an average loss of -$481 at the 25% discount tier. The damage from high discounting is real but concentrated, which a single linear regression cannot capture.</w:t>
      </w:r>
    </w:p>
    <w:p>
      <w:pPr>
        <w:spacing w:after="0" w:before="60"/>
      </w:pPr>
      <w:r>
        <w:t xml:space="preserve"/>
      </w:r>
    </w:p>
    <w:p>
      <w:pPr>
        <w:spacing w:after="80" w:before="80"/>
        <w:jc w:val="both"/>
      </w:pPr>
      <w:r>
        <w:rPr>
          <w:rFonts w:ascii="Arial" w:cs="Arial" w:eastAsia="Arial" w:hAnsi="Arial"/>
          <w:b/>
          <w:bCs/>
          <w:color w:val="1F2937"/>
          <w:sz w:val="22"/>
          <w:szCs w:val="22"/>
        </w:rPr>
        <w:t xml:space="preserve">25% discounts are disproportionately harmful. </w:t>
      </w:r>
      <w:r>
        <w:rPr>
          <w:rFonts w:ascii="Arial" w:cs="Arial" w:eastAsia="Arial" w:hAnsi="Arial"/>
          <w:color w:val="1F2937"/>
          <w:sz w:val="22"/>
          <w:szCs w:val="22"/>
        </w:rPr>
        <w:t xml:space="preserve">Orders in the highest discount band (25%) generate an average loss of $481 per order. While this tier accounts for a small number of orders, each one actively destroys value. The concentration of losses in this band explains why the business can show a positive total profit while half of its individual orders are loss-making: a small cluster of high-value, undiscounted Technology orders generate enough profit to offset widespread marginal losses across the rest of the portfolio.</w:t>
      </w:r>
    </w:p>
    <w:p>
      <w:pPr>
        <w:spacing w:after="0" w:before="60"/>
      </w:pPr>
      <w:r>
        <w:t xml:space="preserve"/>
      </w:r>
    </w:p>
    <w:p>
      <w:pPr>
        <w:spacing w:after="80" w:before="80"/>
        <w:jc w:val="both"/>
      </w:pPr>
      <w:r>
        <w:rPr>
          <w:rFonts w:ascii="Arial" w:cs="Arial" w:eastAsia="Arial" w:hAnsi="Arial"/>
          <w:b/>
          <w:bCs/>
          <w:color w:val="1F2937"/>
          <w:sz w:val="22"/>
          <w:szCs w:val="22"/>
        </w:rPr>
        <w:t xml:space="preserve">Justification of findings. </w:t>
      </w:r>
      <w:r>
        <w:rPr>
          <w:rFonts w:ascii="Arial" w:cs="Arial" w:eastAsia="Arial" w:hAnsi="Arial"/>
          <w:color w:val="1F2937"/>
          <w:sz w:val="22"/>
          <w:szCs w:val="22"/>
        </w:rPr>
        <w:t xml:space="preserve">The regression and band analysis together support the conclusion that the current discount structure has a non-linear effect on profitability. Moderate discounts (up to 10%) are commercially manageable. High discounts (25%) represent a structural profitability leak. The business should consider removing or restricting the 25% discount tier, or ensuring it is only applied to products with sufficiently high base margins to absorb the cost. This is directly supported by the Product_Base_Margin data and the discount compliance VLOOKUP analysis.</w:t>
      </w:r>
    </w:p>
    <w:p>
      <w:pPr>
        <w:spacing w:after="0" w:before="60"/>
      </w:pPr>
      <w:r>
        <w:t xml:space="preserve"/>
      </w:r>
    </w:p>
    <w:p>
      <w:pPr>
        <w:pBdr>
          <w:top w:val="dashed" w:color="E67E22" w:sz="2"/>
          <w:bottom w:val="dashed" w:color="E67E22" w:sz="2"/>
          <w:left w:val="dashed" w:color="E67E22" w:sz="2"/>
          <w:right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Scatter Plot: Does Discounting Hurt Profit? | Discount Band Breakeven Summary Table on Working Sheet</w:t>
      </w:r>
    </w:p>
    <w:p>
      <w:pPr>
        <w:pBdr>
          <w:bottom w:val="single" w:color="CCCCCC" w:sz="2" w:space="1"/>
        </w:pBdr>
        <w:spacing w:after="160" w:before="16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4.5 Shipping Performance vs SLA</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30"/>
        <w:gridCol w:w="1620"/>
        <w:gridCol w:w="1620"/>
        <w:gridCol w:w="1620"/>
        <w:gridCol w:w="2430"/>
      </w:tblGrid>
      <w:tr>
        <w:trPr>
          <w:tblHeader/>
        </w:trPr>
        <w:tc>
          <w:tcPr>
            <w:tcW w:type="dxa" w:w="2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Ship Mode</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SLA Target</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Actual Days</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Ship Cost</w:t>
            </w:r>
          </w:p>
        </w:tc>
        <w:tc>
          <w:tcPr>
            <w:tcW w:type="dxa" w:w="2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SLA Status</w:t>
            </w:r>
          </w:p>
        </w:tc>
      </w:tr>
      <w:tr>
        <w:trPr>
          <w:tblHeader w:val="false"/>
        </w:trP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Express Air</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 day</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2.01 days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$8.97</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Consistently late</w:t>
            </w:r>
          </w:p>
        </w:tc>
      </w:tr>
      <w:tr>
        <w:trPr>
          <w:tblHeader w:val="false"/>
        </w:trPr>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Regular Air</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3 days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2.21 days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$7.52</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Within SLA</w:t>
            </w:r>
          </w:p>
        </w:tc>
      </w:tr>
      <w:tr>
        <w:trPr>
          <w:tblHeader w:val="false"/>
        </w:trP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Delivery Truck</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5 days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1.88 days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$45.81</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Well within SLA</w:t>
            </w:r>
          </w:p>
        </w:tc>
      </w:tr>
    </w:tbl>
    <w:p>
      <w:pPr>
        <w:spacing w:after="0" w:before="80"/>
      </w:pPr>
      <w:r>
        <w:t xml:space="preserve"/>
      </w:r>
    </w:p>
    <w:p>
      <w:pPr>
        <w:spacing w:after="80" w:before="80"/>
        <w:jc w:val="both"/>
      </w:pPr>
      <w:r>
        <w:rPr>
          <w:rFonts w:ascii="Arial" w:cs="Arial" w:eastAsia="Arial" w:hAnsi="Arial"/>
          <w:b/>
          <w:bCs/>
          <w:color w:val="1F2937"/>
          <w:sz w:val="22"/>
          <w:szCs w:val="22"/>
        </w:rPr>
        <w:t xml:space="preserve">Anomalous finding: </w:t>
      </w:r>
      <w:r>
        <w:rPr>
          <w:rFonts w:ascii="Arial" w:cs="Arial" w:eastAsia="Arial" w:hAnsi="Arial"/>
          <w:color w:val="1F2937"/>
          <w:sz w:val="22"/>
          <w:szCs w:val="22"/>
        </w:rPr>
        <w:t xml:space="preserve">Express Air averages 2.01 days despite a 1-day SLA target. This service is the most premium option and carries customer expectations of next-day delivery, yet it is consistently missing its target. Delivery Truck, the cheapest premium option at $45.81 average, delivers in just 1.88 days on average, beating its 5-day SLA by a significant margin. Regular Air offers the best cost-to-performance ratio at $7.52 with a 2.21-day average.</w:t>
      </w:r>
    </w:p>
    <w:p>
      <w:pPr>
        <w:spacing w:after="0" w:before="60"/>
      </w:pPr>
      <w:r>
        <w:t xml:space="preserve"/>
      </w:r>
    </w:p>
    <w:p>
      <w:pPr>
        <w:pBdr>
          <w:top w:val="dashed" w:color="E67E22" w:sz="2"/>
          <w:bottom w:val="dashed" w:color="E67E22" w:sz="2"/>
          <w:left w:val="dashed" w:color="E67E22" w:sz="2"/>
          <w:right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Shipping Performance Bar Chart on Dashboard</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5. Discussion</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5.1 Interpretation of Results</w:t>
      </w:r>
    </w:p>
    <w:p>
      <w:pPr>
        <w:spacing w:after="0" w:before="60"/>
      </w:pPr>
      <w:r>
        <w:t xml:space="preserve"/>
      </w:r>
    </w:p>
    <w:p>
      <w:pPr>
        <w:spacing w:after="80" w:before="80"/>
        <w:jc w:val="both"/>
      </w:pPr>
      <w:r>
        <w:rPr>
          <w:rFonts w:ascii="Arial" w:cs="Arial" w:eastAsia="Arial" w:hAnsi="Arial"/>
          <w:color w:val="1F2937"/>
          <w:sz w:val="22"/>
          <w:szCs w:val="22"/>
        </w:rPr>
        <w:t xml:space="preserve">Taken together, the four strands of analysis tell a coherent story about this retail business:</w:t>
      </w:r>
    </w:p>
    <w:p>
      <w:pPr>
        <w:spacing w:after="0" w:before="60"/>
      </w:pPr>
      <w:r>
        <w:t xml:space="preserve"/>
      </w:r>
    </w:p>
    <w:p>
      <w:pPr>
        <w:spacing w:after="80" w:before="80"/>
        <w:jc w:val="both"/>
      </w:pPr>
      <w:r>
        <w:rPr>
          <w:rFonts w:ascii="Arial" w:cs="Arial" w:eastAsia="Arial" w:hAnsi="Arial"/>
          <w:b/>
          <w:bCs/>
          <w:color w:val="1F2937"/>
          <w:sz w:val="22"/>
          <w:szCs w:val="22"/>
        </w:rPr>
        <w:t xml:space="preserve">The business is profitable overall, but fragile. </w:t>
      </w:r>
      <w:r>
        <w:rPr>
          <w:rFonts w:ascii="Arial" w:cs="Arial" w:eastAsia="Arial" w:hAnsi="Arial"/>
          <w:color w:val="1F2937"/>
          <w:sz w:val="22"/>
          <w:szCs w:val="22"/>
        </w:rPr>
        <w:t xml:space="preserve">Total profit of $287,190 on $2.63M of sales represents a 10.19% net margin, calculated as (Total Profit minus Total Shipping Cost of $18,963) divided by Total Sales. This is the correct net margin figure because it accounts for shipping as a separate operational cost deducted from profit. However, that margin is sustained by a minority of high-value Technology orders. The median individual order loses money. This structure is commercially fragile: any increase in the proportion of discounted, low-margin, or Furniture orders could push the business into aggregate loss.</w:t>
      </w:r>
    </w:p>
    <w:p>
      <w:pPr>
        <w:spacing w:after="0" w:before="60"/>
      </w:pPr>
      <w:r>
        <w:t xml:space="preserve"/>
      </w:r>
    </w:p>
    <w:p>
      <w:pPr>
        <w:spacing w:after="80" w:before="80"/>
        <w:jc w:val="both"/>
      </w:pPr>
      <w:r>
        <w:rPr>
          <w:rFonts w:ascii="Arial" w:cs="Arial" w:eastAsia="Arial" w:hAnsi="Arial"/>
          <w:b/>
          <w:bCs/>
          <w:color w:val="1F2937"/>
          <w:sz w:val="22"/>
          <w:szCs w:val="22"/>
        </w:rPr>
        <w:t xml:space="preserve">Technology is the profit engine. </w:t>
      </w:r>
      <w:r>
        <w:rPr>
          <w:rFonts w:ascii="Arial" w:cs="Arial" w:eastAsia="Arial" w:hAnsi="Arial"/>
          <w:color w:val="1F2937"/>
          <w:sz w:val="22"/>
          <w:szCs w:val="22"/>
        </w:rPr>
        <w:t xml:space="preserve">With $162,882 in profit from $1,016,245 in sales (16% margin), Technology is the only category pulling its weight. Furniture at a 2.7% margin and Office Supplies at 14.3% should both be reviewed for pricing and cost structure.</w:t>
      </w:r>
    </w:p>
    <w:p>
      <w:pPr>
        <w:spacing w:after="0" w:before="60"/>
      </w:pPr>
      <w:r>
        <w:t xml:space="preserve"/>
      </w:r>
    </w:p>
    <w:p>
      <w:pPr>
        <w:spacing w:after="80" w:before="80"/>
        <w:jc w:val="both"/>
      </w:pPr>
      <w:r>
        <w:rPr>
          <w:rFonts w:ascii="Arial" w:cs="Arial" w:eastAsia="Arial" w:hAnsi="Arial"/>
          <w:b/>
          <w:bCs/>
          <w:color w:val="1F2937"/>
          <w:sz w:val="22"/>
          <w:szCs w:val="22"/>
        </w:rPr>
        <w:t xml:space="preserve">Discounting policy needs an urgent review. </w:t>
      </w:r>
      <w:r>
        <w:rPr>
          <w:rFonts w:ascii="Arial" w:cs="Arial" w:eastAsia="Arial" w:hAnsi="Arial"/>
          <w:color w:val="1F2937"/>
          <w:sz w:val="22"/>
          <w:szCs w:val="22"/>
        </w:rPr>
        <w:t xml:space="preserve">The 25% discount tier generates an average loss of $481 per order. Given that discounts appear to be policy-driven rather than negotiated, this is a structural issue rather than a one-off event. Restricting the 25% tier to products with margins above a minimum threshold would protect profitability without requiring any change to operations.</w:t>
      </w:r>
    </w:p>
    <w:p>
      <w:pPr>
        <w:spacing w:after="0" w:before="60"/>
      </w:pPr>
      <w:r>
        <w:t xml:space="preserve"/>
      </w:r>
    </w:p>
    <w:p>
      <w:pPr>
        <w:spacing w:after="80" w:before="80"/>
        <w:jc w:val="both"/>
      </w:pPr>
      <w:r>
        <w:rPr>
          <w:rFonts w:ascii="Arial" w:cs="Arial" w:eastAsia="Arial" w:hAnsi="Arial"/>
          <w:b/>
          <w:bCs/>
          <w:color w:val="1F2937"/>
          <w:sz w:val="22"/>
          <w:szCs w:val="22"/>
        </w:rPr>
        <w:t xml:space="preserve">Express Air is not delivering on its promise. </w:t>
      </w:r>
      <w:r>
        <w:rPr>
          <w:rFonts w:ascii="Arial" w:cs="Arial" w:eastAsia="Arial" w:hAnsi="Arial"/>
          <w:color w:val="1F2937"/>
          <w:sz w:val="22"/>
          <w:szCs w:val="22"/>
        </w:rPr>
        <w:t xml:space="preserve">Customers choosing Express Air are paying a premium and expecting next-day delivery. An average actual delivery time of 2.01 days means the service is not meeting its stated target. This creates a customer satisfaction risk that is not visible in the revenue or profit figures.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5.2 Limitations</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1F2937"/>
          <w:sz w:val="22"/>
          <w:szCs w:val="22"/>
        </w:rPr>
        <w:t xml:space="preserve">No external benchmarks: Without industry-level margin data, it is not possible to determine whether a 10.19% overall margin is strong or weak for this retail segment.</w:t>
      </w:r>
    </w:p>
    <w:p>
      <w:pPr>
        <w:pStyle w:val="ListParagraph"/>
        <w:numPr>
          <w:ilvl w:val="0"/>
          <w:numId w:val="2"/>
        </w:numPr>
        <w:spacing w:after="40" w:before="40"/>
        <w:ind w:left="720" w:hanging="360"/>
      </w:pPr>
      <w:r>
        <w:rPr>
          <w:rFonts w:ascii="Arial" w:cs="Arial" w:eastAsia="Arial" w:hAnsi="Arial"/>
          <w:color w:val="1F2937"/>
          <w:sz w:val="22"/>
          <w:szCs w:val="22"/>
        </w:rPr>
        <w:t xml:space="preserve">Cost structure is opaque: The dataset contains only Sales, Profit, Shipping_Cost, and Discount. Fixed overhead, staff costs, warehousing, and returns are not captured. Profitability at the company level may differ significantly from order-level profit.</w:t>
      </w:r>
    </w:p>
    <w:p>
      <w:pPr>
        <w:pStyle w:val="ListParagraph"/>
        <w:numPr>
          <w:ilvl w:val="0"/>
          <w:numId w:val="2"/>
        </w:numPr>
        <w:spacing w:after="40" w:before="40"/>
        <w:ind w:left="720" w:hanging="360"/>
      </w:pPr>
      <w:r>
        <w:rPr>
          <w:rFonts w:ascii="Arial" w:cs="Arial" w:eastAsia="Arial" w:hAnsi="Arial"/>
          <w:color w:val="1F2937"/>
          <w:sz w:val="22"/>
          <w:szCs w:val="22"/>
        </w:rPr>
        <w:t xml:space="preserve">Linear regression limitation: The relationship between Discount and Profit is non-linear (a threshold effect rather than a straight line). A simple linear trendline understates the true impact. Polynomial regression or a segmented analysis by band (as performed here) is more appropriate.</w:t>
      </w:r>
    </w:p>
    <w:p>
      <w:pPr>
        <w:pStyle w:val="ListParagraph"/>
        <w:numPr>
          <w:ilvl w:val="0"/>
          <w:numId w:val="2"/>
        </w:numPr>
        <w:spacing w:after="40" w:before="40"/>
        <w:ind w:left="720" w:hanging="360"/>
      </w:pPr>
      <w:r>
        <w:rPr>
          <w:rFonts w:ascii="Arial" w:cs="Arial" w:eastAsia="Arial" w:hAnsi="Arial"/>
          <w:color w:val="1F2937"/>
          <w:sz w:val="22"/>
          <w:szCs w:val="22"/>
        </w:rPr>
        <w:t xml:space="preserve">Imputed missing values: The 15 imputed Product_Base_Margin values introduce a small degree of artificial smoothing into any analysis involving that field.</w:t>
      </w:r>
    </w:p>
    <w:p>
      <w:pPr>
        <w:pStyle w:val="ListParagraph"/>
        <w:numPr>
          <w:ilvl w:val="0"/>
          <w:numId w:val="2"/>
        </w:numPr>
        <w:spacing w:after="40" w:before="40"/>
        <w:ind w:left="720" w:hanging="360"/>
      </w:pPr>
      <w:r>
        <w:rPr>
          <w:rFonts w:ascii="Arial" w:cs="Arial" w:eastAsia="Arial" w:hAnsi="Arial"/>
          <w:color w:val="1F2937"/>
          <w:sz w:val="22"/>
          <w:szCs w:val="22"/>
        </w:rPr>
        <w:t xml:space="preserve">SLA targets are assumed: The delivery day targets used in the shipping analysis are not confirmed from a contractual source and were set as reasonable estimates for the purpose of this analysis.</w:t>
      </w:r>
    </w:p>
    <w:p>
      <w:pPr>
        <w:pStyle w:val="ListParagraph"/>
        <w:numPr>
          <w:ilvl w:val="0"/>
          <w:numId w:val="2"/>
        </w:numPr>
        <w:spacing w:after="40" w:before="40"/>
        <w:ind w:left="720" w:hanging="360"/>
      </w:pPr>
      <w:r>
        <w:rPr>
          <w:rFonts w:ascii="Arial" w:cs="Arial" w:eastAsia="Arial" w:hAnsi="Arial"/>
          <w:color w:val="1F2937"/>
          <w:sz w:val="22"/>
          <w:szCs w:val="22"/>
        </w:rPr>
        <w:t xml:space="preserve">No customer-level profitability: The dataset contains customer names but no customer cost data (e.g. returns, customer service costs). The RFM segmentation reflects order value, not true customer lifetime value.</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5.3 Suggested Improvements</w:t>
      </w:r>
    </w:p>
    <w:p>
      <w:pPr>
        <w:spacing w:after="0" w:before="60"/>
      </w:pPr>
      <w:r>
        <w:t xml:space="preserve"/>
      </w:r>
    </w:p>
    <w:p>
      <w:pPr>
        <w:pStyle w:val="ListParagraph"/>
        <w:numPr>
          <w:ilvl w:val="0"/>
          <w:numId w:val="3"/>
        </w:numPr>
        <w:spacing w:after="40" w:before="40"/>
        <w:ind w:left="720" w:hanging="360"/>
      </w:pPr>
      <w:r>
        <w:rPr>
          <w:rFonts w:ascii="Arial" w:cs="Arial" w:eastAsia="Arial" w:hAnsi="Arial"/>
          <w:color w:val="1F2937"/>
          <w:sz w:val="22"/>
          <w:szCs w:val="22"/>
        </w:rPr>
        <w:t xml:space="preserve">Restrict the 25% discount tier to products with a Product_Base_Margin above a defined minimum threshold, such as 40%.</w:t>
      </w:r>
    </w:p>
    <w:p>
      <w:pPr>
        <w:pStyle w:val="ListParagraph"/>
        <w:numPr>
          <w:ilvl w:val="0"/>
          <w:numId w:val="3"/>
        </w:numPr>
        <w:spacing w:after="40" w:before="40"/>
        <w:ind w:left="720" w:hanging="360"/>
      </w:pPr>
      <w:r>
        <w:rPr>
          <w:rFonts w:ascii="Arial" w:cs="Arial" w:eastAsia="Arial" w:hAnsi="Arial"/>
          <w:color w:val="1F2937"/>
          <w:sz w:val="22"/>
          <w:szCs w:val="22"/>
        </w:rPr>
        <w:t xml:space="preserve">Investigate the Furniture category margin in detail. At 2.7%, Furniture should either be repriced upward or dropped from the portfolio if price increases are not commercially viable.</w:t>
      </w:r>
    </w:p>
    <w:p>
      <w:pPr>
        <w:pStyle w:val="ListParagraph"/>
        <w:numPr>
          <w:ilvl w:val="0"/>
          <w:numId w:val="3"/>
        </w:numPr>
        <w:spacing w:after="40" w:before="40"/>
        <w:ind w:left="720" w:hanging="360"/>
      </w:pPr>
      <w:r>
        <w:rPr>
          <w:rFonts w:ascii="Arial" w:cs="Arial" w:eastAsia="Arial" w:hAnsi="Arial"/>
          <w:color w:val="1F2937"/>
          <w:sz w:val="22"/>
          <w:szCs w:val="22"/>
        </w:rPr>
        <w:t xml:space="preserve">Audit Express Air SLA compliance. If the carrier cannot reliably deliver within 1 day, the service description should be updated or a different carrier sourced.</w:t>
      </w:r>
    </w:p>
    <w:p>
      <w:pPr>
        <w:pStyle w:val="ListParagraph"/>
        <w:numPr>
          <w:ilvl w:val="0"/>
          <w:numId w:val="3"/>
        </w:numPr>
        <w:spacing w:after="40" w:before="40"/>
        <w:ind w:left="720" w:hanging="360"/>
      </w:pPr>
      <w:r>
        <w:rPr>
          <w:rFonts w:ascii="Arial" w:cs="Arial" w:eastAsia="Arial" w:hAnsi="Arial"/>
          <w:color w:val="1F2937"/>
          <w:sz w:val="22"/>
          <w:szCs w:val="22"/>
        </w:rPr>
        <w:t xml:space="preserve">Introduce a customer-level profitability view by linking order data to a returns and credit note dataset.</w:t>
      </w:r>
    </w:p>
    <w:p>
      <w:pPr>
        <w:pStyle w:val="ListParagraph"/>
        <w:numPr>
          <w:ilvl w:val="0"/>
          <w:numId w:val="3"/>
        </w:numPr>
        <w:spacing w:after="40" w:before="40"/>
        <w:ind w:left="720" w:hanging="360"/>
      </w:pPr>
      <w:r>
        <w:rPr>
          <w:rFonts w:ascii="Arial" w:cs="Arial" w:eastAsia="Arial" w:hAnsi="Arial"/>
          <w:color w:val="1F2937"/>
          <w:sz w:val="22"/>
          <w:szCs w:val="22"/>
        </w:rPr>
        <w:t xml:space="preserve">Extend the dataset to 2013 onwards to assess whether the trends identified here represent a structural pattern or a specific period anomaly.</w:t>
      </w:r>
    </w:p>
    <w:p>
      <w:pPr>
        <w:pStyle w:val="ListParagraph"/>
        <w:numPr>
          <w:ilvl w:val="0"/>
          <w:numId w:val="3"/>
        </w:numPr>
        <w:spacing w:after="40" w:before="40"/>
        <w:ind w:left="720" w:hanging="360"/>
      </w:pPr>
      <w:r>
        <w:rPr>
          <w:rFonts w:ascii="Arial" w:cs="Arial" w:eastAsia="Arial" w:hAnsi="Arial"/>
          <w:color w:val="1F2937"/>
          <w:sz w:val="22"/>
          <w:szCs w:val="22"/>
        </w:rPr>
        <w:t xml:space="preserve">Automate the refresh by connecting the dashboard to a live data source via Power Query, removing the need for manual data cleaning with each new data extract.</w:t>
      </w:r>
    </w:p>
    <w:p>
      <w:pPr>
        <w:pStyle w:val="ListParagraph"/>
        <w:numPr>
          <w:ilvl w:val="0"/>
          <w:numId w:val="3"/>
        </w:numPr>
        <w:spacing w:after="40" w:before="40"/>
        <w:ind w:left="720" w:hanging="360"/>
      </w:pPr>
      <w:r>
        <w:rPr>
          <w:rFonts w:ascii="Arial" w:cs="Arial" w:eastAsia="Arial" w:hAnsi="Arial"/>
          <w:color w:val="1F2937"/>
          <w:sz w:val="22"/>
          <w:szCs w:val="22"/>
        </w:rPr>
        <w:t xml:space="preserve">Consider Power BI for the next iteration of this dashboard to enable richer interactivity, row-level security, and sharing with stakeholders without distributing the underlying Excel file.</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6. Conclusion</w:t>
      </w:r>
    </w:p>
    <w:p>
      <w:pPr>
        <w:spacing w:after="0" w:before="80"/>
      </w:pPr>
      <w:r>
        <w:t xml:space="preserve"/>
      </w:r>
    </w:p>
    <w:p>
      <w:pPr>
        <w:spacing w:after="80" w:before="80"/>
        <w:jc w:val="both"/>
      </w:pPr>
      <w:r>
        <w:rPr>
          <w:rFonts w:ascii="Arial" w:cs="Arial" w:eastAsia="Arial" w:hAnsi="Arial"/>
          <w:color w:val="1F2937"/>
          <w:sz w:val="22"/>
          <w:szCs w:val="22"/>
        </w:rPr>
        <w:t xml:space="preserve">This analysis of 1,482 US retail orders from 2009 to 2012 produced five actionable insights:</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600"/>
        <w:gridCol w:w="9120"/>
      </w:tblGrid>
      <w:tr>
        <w:tc>
          <w:tcPr>
            <w:tcW w:type="dxa" w:w="6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912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Technology is the profit engine</w:t>
            </w:r>
          </w:p>
          <w:p>
            <w:r>
              <w:rPr>
                <w:rFonts w:ascii="Arial" w:cs="Arial" w:eastAsia="Arial" w:hAnsi="Arial"/>
                <w:color w:val="1F2937"/>
                <w:sz w:val="20"/>
                <w:szCs w:val="20"/>
              </w:rPr>
              <w:t xml:space="preserve">Generating 61.5% of total profit at a 16% margin, Technology is the only category delivering meaningful returns. Furniture must be repriced or deprioritised.</w:t>
            </w:r>
          </w:p>
        </w:tc>
      </w:tr>
      <w:tr>
        <w:tc>
          <w:tcPr>
            <w:tcW w:type="dxa" w:w="6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9120"/>
            <w:tcBorders>
              <w:top w:val="none" w:color="FFFFFF" w:sz="0"/>
              <w:left w:val="none" w:color="FFFFFF" w:sz="0"/>
              <w:bottom w:val="none" w:color="FFFFFF" w:sz="0"/>
              <w:right w:val="none" w:color="FFFFFF" w:sz="0"/>
            </w:tcBorders>
            <w:tcMar>
              <w:top w:type="dxa" w:w="120"/>
              <w:left w:type="dxa" w:w="200"/>
              <w:bottom w:type="dxa" w:w="120"/>
              <w:right w:type="dxa" w:w="120"/>
            </w:tcMar>
          </w:tcPr>
          <w:p>
            <w:r>
              <w:rPr>
                <w:rFonts w:ascii="Arial" w:cs="Arial" w:eastAsia="Arial" w:hAnsi="Arial"/>
                <w:b/>
                <w:bCs/>
                <w:color w:val="1F3864"/>
                <w:sz w:val="22"/>
                <w:szCs w:val="22"/>
              </w:rPr>
              <w:t xml:space="preserve">Most individual orders are unprofitable</w:t>
            </w:r>
          </w:p>
          <w:p>
            <w:r>
              <w:rPr>
                <w:rFonts w:ascii="Arial" w:cs="Arial" w:eastAsia="Arial" w:hAnsi="Arial"/>
                <w:color w:val="1F2937"/>
                <w:sz w:val="20"/>
                <w:szCs w:val="20"/>
              </w:rPr>
              <w:t xml:space="preserve">Median profit is -$3 per order. Profitability is driven by a small number of high-value transactions. The business is more exposed to demand shifts than headline margins suggest.</w:t>
            </w:r>
          </w:p>
        </w:tc>
      </w:tr>
      <w:tr>
        <w:tc>
          <w:tcPr>
            <w:tcW w:type="dxa" w:w="6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912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25% discounts destroy value</w:t>
            </w:r>
          </w:p>
          <w:p>
            <w:r>
              <w:rPr>
                <w:rFonts w:ascii="Arial" w:cs="Arial" w:eastAsia="Arial" w:hAnsi="Arial"/>
                <w:color w:val="1F2937"/>
                <w:sz w:val="20"/>
                <w:szCs w:val="20"/>
              </w:rPr>
              <w:t xml:space="preserve">Orders at the 25% discount tier generate an average loss of $481 each. Restricting this tier to high-margin products is the single highest-impact action available from this analysis.</w:t>
            </w:r>
          </w:p>
        </w:tc>
      </w:tr>
      <w:tr>
        <w:tc>
          <w:tcPr>
            <w:tcW w:type="dxa" w:w="6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9120"/>
            <w:tcBorders>
              <w:top w:val="none" w:color="FFFFFF" w:sz="0"/>
              <w:left w:val="none" w:color="FFFFFF" w:sz="0"/>
              <w:bottom w:val="none" w:color="FFFFFF" w:sz="0"/>
              <w:right w:val="none" w:color="FFFFFF" w:sz="0"/>
            </w:tcBorders>
            <w:tcMar>
              <w:top w:type="dxa" w:w="120"/>
              <w:left w:type="dxa" w:w="200"/>
              <w:bottom w:type="dxa" w:w="120"/>
              <w:right w:type="dxa" w:w="120"/>
            </w:tcMar>
          </w:tcPr>
          <w:p>
            <w:r>
              <w:rPr>
                <w:rFonts w:ascii="Arial" w:cs="Arial" w:eastAsia="Arial" w:hAnsi="Arial"/>
                <w:b/>
                <w:bCs/>
                <w:color w:val="1F3864"/>
                <w:sz w:val="22"/>
                <w:szCs w:val="22"/>
              </w:rPr>
              <w:t xml:space="preserve">Express Air is missing its SLA target</w:t>
            </w:r>
          </w:p>
          <w:p>
            <w:r>
              <w:rPr>
                <w:rFonts w:ascii="Arial" w:cs="Arial" w:eastAsia="Arial" w:hAnsi="Arial"/>
                <w:color w:val="1F2937"/>
                <w:sz w:val="20"/>
                <w:szCs w:val="20"/>
              </w:rPr>
              <w:t xml:space="preserve">Average actual delivery is 2.01 days against a 1-day target. This is an operational compliance issue with direct customer satisfaction implications.</w:t>
            </w:r>
          </w:p>
        </w:tc>
      </w:tr>
      <w:tr>
        <w:tc>
          <w:tcPr>
            <w:tcW w:type="dxa" w:w="6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912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Corporate customers and California are the highest-value segments</w:t>
            </w:r>
          </w:p>
          <w:p>
            <w:r>
              <w:rPr>
                <w:rFonts w:ascii="Arial" w:cs="Arial" w:eastAsia="Arial" w:hAnsi="Arial"/>
                <w:color w:val="1F2937"/>
                <w:sz w:val="20"/>
                <w:szCs w:val="20"/>
              </w:rPr>
              <w:t xml:space="preserve">Corporate accounts for 37% of revenue and California alone 8.2% of sales. Customer retention and geographic concentration should be active risk management priorities.</w:t>
            </w:r>
          </w:p>
        </w:tc>
      </w:tr>
    </w:tbl>
    <w:p>
      <w:pPr>
        <w:spacing w:after="0" w:before="120"/>
      </w:pPr>
      <w:r>
        <w:t xml:space="preserve"/>
      </w:r>
    </w:p>
    <w:p>
      <w:pPr>
        <w:spacing w:after="80" w:before="80"/>
        <w:jc w:val="both"/>
      </w:pPr>
      <w:r>
        <w:rPr>
          <w:rFonts w:ascii="Arial" w:cs="Arial" w:eastAsia="Arial" w:hAnsi="Arial"/>
          <w:color w:val="1F2937"/>
          <w:sz w:val="22"/>
          <w:szCs w:val="22"/>
        </w:rPr>
        <w:t xml:space="preserve">This project demonstrates that a structured, formula-driven approach in Microsoft Excel can produce analysis equivalent in quality and depth to dedicated business intelligence tools. The workbook is reproducible: any analyst with access to the file can follow the documented steps, verify every formula, and update the dashboard by refreshing the source data. That transparency and reproducibility is as important as the findings themselves.</w:t>
      </w:r>
    </w:p>
    <w:p>
      <w:pPr>
        <w:spacing w:after="0" w:before="80"/>
      </w:pPr>
      <w:r>
        <w:t xml:space="preserve"/>
      </w:r>
    </w:p>
    <w:p>
      <w:pPr>
        <w:shd w:fill="E8F4FD" w:val="clear"/>
        <w:spacing w:after="120" w:before="120"/>
        <w:ind w:left="360" w:right="360"/>
      </w:pPr>
      <w:r>
        <w:rPr>
          <w:rFonts w:ascii="Arial" w:cs="Arial" w:eastAsia="Arial" w:hAnsi="Arial"/>
          <w:b/>
          <w:bCs/>
          <w:color w:val="2E75B6"/>
          <w:sz w:val="22"/>
          <w:szCs w:val="22"/>
        </w:rPr>
        <w:t xml:space="preserve">For Recruiters and Reviewers: </w:t>
      </w:r>
      <w:r>
        <w:rPr>
          <w:rFonts w:ascii="Arial" w:cs="Arial" w:eastAsia="Arial" w:hAnsi="Arial"/>
          <w:color w:val="1F2937"/>
          <w:sz w:val="22"/>
          <w:szCs w:val="22"/>
        </w:rPr>
        <w:t xml:space="preserve">This analysis was completed entirely in Microsoft Excel without macros or VBA. It covers data cleaning, statistical analysis, pattern detection, customer segmentation (RFM), SLA compliance monitoring, and interactive dashboard design. All formulas use structured Table references and are fully auditable. The complete workbook is available on request.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888888"/>
        <w:sz w:val="18"/>
        <w:szCs w:val="18"/>
      </w:rPr>
      <w:t xml:space="preserve">Retail Sales Analysis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2026-06-24T20:13:24.589Z</dcterms:created>
  <dcterms:modified xsi:type="dcterms:W3CDTF">2026-06-24T20:13:24.589Z</dcterms:modified>
</cp:coreProperties>
</file>

<file path=docProps/custom.xml><?xml version="1.0" encoding="utf-8"?>
<Properties xmlns="http://schemas.openxmlformats.org/officeDocument/2006/custom-properties" xmlns:vt="http://schemas.openxmlformats.org/officeDocument/2006/docPropsVTypes"/>
</file>