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Operational Architecture of Institutional Digital Asset Banking: A Comprehensive Manual of Back Office Procedures and Risk Governance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evolution of the global financial landscape has necessitated a fundamental reconstruction of the banking back office to accommodate the unique operational requirements of distributed ledger technologies. Traditional banking operations, historically predicated on centralized control and the reversible nature of electronic ledger entries, are now required to interface with public and private blockchain environments where irreversibility and cryptographic proof are the primary determinants of asset ownership.</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For a bank operations team, the shift toward interacting with cryptocurrencies and tokenized assets at scale requires a departure from legacy manual processes toward a specialized framework of cryptographic governance.</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This framework is not merely a technical implementation but a rigorous operational discipline that involves the manual management of cryptographic keys, real-time transaction monitoring, and complex reconciliation cycles across disparate on-chain and off-chain data sources.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most critical distinction between traditional and digital asset operations lies in the nature of "custody." In the digital asset context, custody refers to the possession and control of private cryptographic keys—randomly generated numbers of significant length that prove ownership of a specific address on the blockchain.</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The loss or compromise of these keys, or even the "sensitive information" like seed phrases used to regenerate them, results in the permanent and unrecoverable loss of the associated assets.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Consequently, the back office must develop exhaustive manual procedures to govern the entire lifecycle of these keys, from their initialization in highly controlled "key ceremonies" to their daily use in transaction authorization workflows.</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Cryptographic Key Lifecycle Management and Governance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lifecycle of an institutional digital asset begins with the initialization phase, which must follow a strict, documented protocol known as a key ceremony.</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This manual event is designed to generate cryptographic secrets in a manner that ensures no single party can determine their values and that they remain recoverable in the event of a disaster.</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The manual burden of this process is extensive, involving physical security, forensic hardware verification, and the participation of multiple independent roles to ensure segregation of duties.</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Procedural Standards for Institutional Key Generation Ceremonies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Before a key ceremony commences, the back office must prepare a "ceremony storybook"—a detailed script that outlines every manual action, witness requirement, and fallback procedure.</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This preparation includes the procurement of hardware, such as Hardware Security Modules (HSMs) or air-gapped laptops, which must be sourced directly from manufacturers to mitigate the risk of supply-chain tampering.</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Personnel are assigned specific, non-conflicting roles, typically including a Master of Ceremony, an Operator, a Witness, and an Auditor.</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Role in Key Ceremony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Manual Responsibilities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Verification and Audit Artifacts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Master of Ceremony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Orchestrates the sequence of events and ensures adherence to the documented script.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Signed completion of the ceremony storybook for every procedural step.</w:t>
            </w:r>
            <w:r w:rsidDel="00000000" w:rsidR="00000000" w:rsidRPr="00000000">
              <w:rPr>
                <w:rFonts w:ascii="Google Sans" w:cs="Google Sans" w:eastAsia="Google Sans" w:hAnsi="Google Sans"/>
                <w:color w:val="444746"/>
                <w:sz w:val="24"/>
                <w:szCs w:val="24"/>
                <w:vertAlign w:val="superscript"/>
                <w:rtl w:val="0"/>
              </w:rPr>
              <w:t xml:space="preserve">18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Hardware Operator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Physically interacts with HSMs or air-gapped devices to perform the key generation.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Verified checksums and certificates of the software/scripts used.</w:t>
            </w:r>
            <w:r w:rsidDel="00000000" w:rsidR="00000000" w:rsidRPr="00000000">
              <w:rPr>
                <w:rFonts w:ascii="Google Sans" w:cs="Google Sans" w:eastAsia="Google Sans" w:hAnsi="Google Sans"/>
                <w:color w:val="444746"/>
                <w:sz w:val="24"/>
                <w:szCs w:val="24"/>
                <w:vertAlign w:val="superscript"/>
                <w:rtl w:val="0"/>
              </w:rPr>
              <w:t xml:space="preserve">18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Independent Witness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Records all actions and notes any deviations or exceptions to the protocol.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Signed affidavits and detailed minutes of the ceremony events.</w:t>
            </w:r>
            <w:r w:rsidDel="00000000" w:rsidR="00000000" w:rsidRPr="00000000">
              <w:rPr>
                <w:rFonts w:ascii="Google Sans" w:cs="Google Sans" w:eastAsia="Google Sans" w:hAnsi="Google Sans"/>
                <w:color w:val="444746"/>
                <w:sz w:val="24"/>
                <w:szCs w:val="24"/>
                <w:vertAlign w:val="superscript"/>
                <w:rtl w:val="0"/>
              </w:rPr>
              <w:t xml:space="preserve">18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Forensic Auditor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Inspects hardware to confirm networking cards are removed and entropy is hardware-generated.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Forensic reports of device state and video logs of the physical environment.</w:t>
            </w:r>
            <w:r w:rsidDel="00000000" w:rsidR="00000000" w:rsidRPr="00000000">
              <w:rPr>
                <w:rFonts w:ascii="Google Sans" w:cs="Google Sans" w:eastAsia="Google Sans" w:hAnsi="Google Sans"/>
                <w:color w:val="444746"/>
                <w:sz w:val="24"/>
                <w:szCs w:val="24"/>
                <w:vertAlign w:val="superscript"/>
                <w:rtl w:val="0"/>
              </w:rPr>
              <w:t xml:space="preserve">21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Shard Custodian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Receives and secures a portion of the key (in MPC or Multi-sig architectures).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Signed receipts confirming the possession of a specific tamper-evident container.</w:t>
            </w:r>
            <w:r w:rsidDel="00000000" w:rsidR="00000000" w:rsidRPr="00000000">
              <w:rPr>
                <w:rFonts w:ascii="Google Sans" w:cs="Google Sans" w:eastAsia="Google Sans" w:hAnsi="Google Sans"/>
                <w:color w:val="444746"/>
                <w:sz w:val="24"/>
                <w:szCs w:val="24"/>
                <w:vertAlign w:val="superscript"/>
                <w:rtl w:val="0"/>
              </w:rPr>
              <w:t xml:space="preserve">21</w:t>
            </w:r>
          </w:p>
        </w:tc>
      </w:tr>
    </w:tbl>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manual execution of the ceremony follows a precise sequence. All participants meet in a secure facility that is clear of electronic disturbances and recording devices.</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The hardware is verified to be in a "factory state," and all actions are recorded by the independent witness.</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The generation of secrets utilizes hardware-based random number generators (RNG) to ensure maximum entropy.</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Once the keys or seeds are generated, they are immediately backed up in a secure way—often through a threshold secret-sharing scheme—to ensure recovery is guaranteed while access remains restricted and logged.</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These backups, which may take the form of paper wallets, steel plates, or hardware devices, are then placed in tamper-evident containers and moved to geographically dispersed vaults.</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Custodial Wallet Architectures and Manual Rebalancing</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Scaling digital asset operations requires a tiered wallet architecture that balances the immediate liquidity needs of customers with the bank's mandate for asset protection.</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This architecture typically categorizes keys by the frequency of their use, requiring the back office to manually manage the flow of assets between hot, warm, and cold tiers.</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Wallet Tier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Connectivity Status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Reserve Target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Manual Operational Responsibilities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Cold Storage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Offline, air-gapped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70% - 90%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Vault access, multi-person authorization, physical shard management.</w:t>
            </w:r>
            <w:r w:rsidDel="00000000" w:rsidR="00000000" w:rsidRPr="00000000">
              <w:rPr>
                <w:rFonts w:ascii="Google Sans" w:cs="Google Sans" w:eastAsia="Google Sans" w:hAnsi="Google Sans"/>
                <w:color w:val="444746"/>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Warm Storage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Semi-offline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 - 20%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Scheduled batch settlements, rebalancing from cold to hot, multi-sig sign-offs.</w:t>
            </w:r>
            <w:r w:rsidDel="00000000" w:rsidR="00000000" w:rsidRPr="00000000">
              <w:rPr>
                <w:rFonts w:ascii="Google Sans" w:cs="Google Sans" w:eastAsia="Google Sans" w:hAnsi="Google Sans"/>
                <w:color w:val="444746"/>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Hot Wallet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Always online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 - 10%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Monitoring for withdrawal surges, manual limit resets, liquidity top-ups from warm storage.</w:t>
            </w:r>
            <w:r w:rsidDel="00000000" w:rsidR="00000000" w:rsidRPr="00000000">
              <w:rPr>
                <w:rFonts w:ascii="Google Sans" w:cs="Google Sans" w:eastAsia="Google Sans" w:hAnsi="Google Sans"/>
                <w:color w:val="444746"/>
                <w:sz w:val="24"/>
                <w:szCs w:val="24"/>
                <w:vertAlign w:val="superscript"/>
                <w:rtl w:val="0"/>
              </w:rPr>
              <w:t xml:space="preserve">9</w:t>
            </w:r>
          </w:p>
        </w:tc>
      </w:tr>
    </w:tbl>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manual rebalancing between these tiers is triggered by policy-driven thresholds rather than arbitrary decisions.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When a hot wallet's balance falls below a certain percentage of the expected daily withdrawal volume, the back office must initiate a manual top-up from warm or cold storage.</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This requires a "quorum validation" process where multiple authorized signers—often including senior executives for large movements—must provide cryptographic signatures to authorize the transfer.</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For transactions originating from cold storage, the manual burden is significantly higher, as it involves coordinating across multiple geographic sites and teams to access the required key shares.</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3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Transaction Execution and Exception Management</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daily operations of a cryptocurrency-enabled bank involve the continuous processing of incoming deposits and outgoing withdrawals across multiple blockchain networks.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Unlike fiat transfers, which can be batched and settled at specific times, blockchain networks operate 24/7, requiring the back office to manage network-specific nuances like gas fees, nonces, and varying confirmation times to ensure finality.</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Manual Gas Fee and Nonce Governance</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Transactions on networks like Ethereum require a "gas fee" to be paid to validators.</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If the back office sets a fee that is too low relative to current network congestion, the transaction may become "stuck" in a pending state, preventing any subsequent transactions from the same address from being processed.</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This creates a critical manual workflow for operations teams: the monitoring and remediation of pending transactions.</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team must utilize block explorers like Etherscan to manually investigate the status of a transaction.</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If a transaction is stuck, they must identify the "nonce"—an incremental number that dictates the order of transactions—and resubmit a new transaction with the same nonce but a significantly higher gas fee.</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This "speed-up" or "replacement" transaction tells the network to prioritize the new request, effectively dropping the original one.</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In cases where a transaction must be cancelled, a "zero-value" transaction is sent to the bank’s own address using the same nonce and a higher fee.</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This manual intervention is essential for maintaining the "throughput" of the bank's operational wallets and requires constant surveillance of network congestion via gas tracking tools.</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Authorization Workflows and Withdrawal Triage</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At scale, a bank cannot allow automated outflows without rigorous human-in-the-loop controls.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Every withdrawal request must undergo a manual or semi-automated triage process. This begins with "address whitelisting," where the back office verifies that the destination address has been pre-approved through a prior KYC/KYB check.</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If an address is not on the whitelist, the transaction must be blocked until the customer provides the necessary identity documentation and the compliance team manually approves the addition.</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high-value or high-risk transfers, the back office utilizes "biometric voice and video" approval processes to confirm the requester's intent.</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This serves as a manual safeguard against compromised credentials or insider threats.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Furthermore, "velocity restrictions" are monitored manually; if a customer attempts multiple transfers in a short period that exceed a predefined aggregate threshold, the operations team must flag the activity for investigation by the AML unit.</w:t>
      </w:r>
      <w:r w:rsidDel="00000000" w:rsidR="00000000" w:rsidRPr="00000000">
        <w:rPr>
          <w:rFonts w:ascii="Google Sans" w:cs="Google Sans" w:eastAsia="Google Sans" w:hAnsi="Google Sans"/>
          <w:color w:val="444746"/>
          <w:sz w:val="24"/>
          <w:szCs w:val="24"/>
          <w:vertAlign w:val="superscript"/>
          <w:rtl w:val="0"/>
        </w:rPr>
        <w:t xml:space="preserve">38</w:t>
      </w:r>
    </w:p>
    <w:p w:rsidR="00000000" w:rsidDel="00000000" w:rsidP="00000000" w:rsidRDefault="00000000" w:rsidRPr="00000000" w14:paraId="0000003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Stablecoin and Tokenized Asset Lifecycle Operations</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Banks increasingly participate in the issuance and redemption of stablecoins or tokenized deposits, where the back office serves as the engine for maintaining price stability and reserve alignment.</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These activities, known as "minting" and "burning," are the fundamental mechanics that ensure the digital representation of value remains 1:1 backed by real-world assets.</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Manual Minting Workflows: From Fiat Receipt to On-Chain Issuance</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minting process is initiated when a user deposits fiat collateral (e.g., USD) into the bank’s designated reserve account.</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The manual activities required to successfully mint tokens include:</w:t>
      </w:r>
    </w:p>
    <w:p w:rsidR="00000000" w:rsidDel="00000000" w:rsidP="00000000" w:rsidRDefault="00000000" w:rsidRPr="00000000" w14:paraId="0000003C">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Collateral Verification</w:t>
      </w:r>
      <w:r w:rsidDel="00000000" w:rsidR="00000000" w:rsidRPr="00000000">
        <w:rPr>
          <w:rFonts w:ascii="Google Sans" w:cs="Google Sans" w:eastAsia="Google Sans" w:hAnsi="Google Sans"/>
          <w:color w:val="1f1f1f"/>
          <w:rtl w:val="0"/>
        </w:rPr>
        <w:t xml:space="preserve">: The back office confirms the arrival of funds in the bank’s fiat ledger, cross-referencing wire or ACH receipts with the user’s identity in the CRM.</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3D">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Reserve Allocation</w:t>
      </w:r>
      <w:r w:rsidDel="00000000" w:rsidR="00000000" w:rsidRPr="00000000">
        <w:rPr>
          <w:rFonts w:ascii="Google Sans" w:cs="Google Sans" w:eastAsia="Google Sans" w:hAnsi="Google Sans"/>
          <w:color w:val="1f1f1f"/>
          <w:rtl w:val="0"/>
        </w:rPr>
        <w:t xml:space="preserve">: Staff must manually move the deposited funds into the reserve pool, which often consists of cash or short-term treasuries with specific maturity limits, such as the 93-day limit often cited for compliance with emerging digital asset laws.</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3E">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Smart Contract Execution</w:t>
      </w:r>
      <w:r w:rsidDel="00000000" w:rsidR="00000000" w:rsidRPr="00000000">
        <w:rPr>
          <w:rFonts w:ascii="Google Sans" w:cs="Google Sans" w:eastAsia="Google Sans" w:hAnsi="Google Sans"/>
          <w:color w:val="1f1f1f"/>
          <w:rtl w:val="0"/>
        </w:rPr>
        <w:t xml:space="preserve">: An authorized treasury officer with specific administrative privileges calls the mint function on the stablecoin's smart contract.</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3F">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Dual-Approval Verification</w:t>
      </w:r>
      <w:r w:rsidDel="00000000" w:rsidR="00000000" w:rsidRPr="00000000">
        <w:rPr>
          <w:rFonts w:ascii="Google Sans" w:cs="Google Sans" w:eastAsia="Google Sans" w:hAnsi="Google Sans"/>
          <w:color w:val="1f1f1f"/>
          <w:rtl w:val="0"/>
        </w:rPr>
        <w:t xml:space="preserve">: A second officer must manually verify the amount to be minted against the fiat receipt before providing the final signature to broadcast the transaction.</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40">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Asset Confirmation</w:t>
      </w:r>
      <w:r w:rsidDel="00000000" w:rsidR="00000000" w:rsidRPr="00000000">
        <w:rPr>
          <w:rFonts w:ascii="Google Sans" w:cs="Google Sans" w:eastAsia="Google Sans" w:hAnsi="Google Sans"/>
          <w:color w:val="1f1f1f"/>
          <w:rtl w:val="0"/>
        </w:rPr>
        <w:t xml:space="preserve">: Once the transaction is confirmed on the blockchain, the back office verifies that the tokens have arrived in the user's wallet and records the transaction ID (TXID) in the sub-ledger for auditability.</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Manual Burning Workflows: Redemption and Collateral Release</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Burning removes tokens from circulation when a user redeems them for fiat currency.</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This requires a reverse workflow that is equally manual and high-stakes:</w:t>
      </w:r>
    </w:p>
    <w:p w:rsidR="00000000" w:rsidDel="00000000" w:rsidP="00000000" w:rsidRDefault="00000000" w:rsidRPr="00000000" w14:paraId="00000043">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Token Receipt and Triage</w:t>
      </w:r>
      <w:r w:rsidDel="00000000" w:rsidR="00000000" w:rsidRPr="00000000">
        <w:rPr>
          <w:rFonts w:ascii="Google Sans" w:cs="Google Sans" w:eastAsia="Google Sans" w:hAnsi="Google Sans"/>
          <w:color w:val="1f1f1f"/>
          <w:rtl w:val="0"/>
        </w:rPr>
        <w:t xml:space="preserve">: The user sends stablecoins back to the issuer’s dedicated redemption wallet.</w:t>
      </w:r>
      <w:r w:rsidDel="00000000" w:rsidR="00000000" w:rsidRPr="00000000">
        <w:rPr>
          <w:rFonts w:ascii="Google Sans" w:cs="Google Sans" w:eastAsia="Google Sans" w:hAnsi="Google Sans"/>
          <w:color w:val="444746"/>
          <w:sz w:val="24"/>
          <w:szCs w:val="24"/>
          <w:vertAlign w:val="superscript"/>
          <w:rtl w:val="0"/>
        </w:rPr>
        <w:t xml:space="preserve">42</w:t>
      </w:r>
    </w:p>
    <w:p w:rsidR="00000000" w:rsidDel="00000000" w:rsidP="00000000" w:rsidRDefault="00000000" w:rsidRPr="00000000" w14:paraId="00000044">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Source of Funds Check</w:t>
      </w:r>
      <w:r w:rsidDel="00000000" w:rsidR="00000000" w:rsidRPr="00000000">
        <w:rPr>
          <w:rFonts w:ascii="Google Sans" w:cs="Google Sans" w:eastAsia="Google Sans" w:hAnsi="Google Sans"/>
          <w:color w:val="1f1f1f"/>
          <w:rtl w:val="0"/>
        </w:rPr>
        <w:t xml:space="preserve">: The back office must use blockchain analytics to confirm that the tokens being returned were not recently involved in suspicious activity or linked to sanctioned addresses.</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45">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Burn Execution</w:t>
      </w:r>
      <w:r w:rsidDel="00000000" w:rsidR="00000000" w:rsidRPr="00000000">
        <w:rPr>
          <w:rFonts w:ascii="Google Sans" w:cs="Google Sans" w:eastAsia="Google Sans" w:hAnsi="Google Sans"/>
          <w:color w:val="1f1f1f"/>
          <w:rtl w:val="0"/>
        </w:rPr>
        <w:t xml:space="preserve">: The staff calls the burn function, permanently destroying the tokens on the ledger.</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46">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Fiat Settlement</w:t>
      </w:r>
      <w:r w:rsidDel="00000000" w:rsidR="00000000" w:rsidRPr="00000000">
        <w:rPr>
          <w:rFonts w:ascii="Google Sans" w:cs="Google Sans" w:eastAsia="Google Sans" w:hAnsi="Google Sans"/>
          <w:color w:val="1f1f1f"/>
          <w:rtl w:val="0"/>
        </w:rPr>
        <w:t xml:space="preserve">: Following the on-chain burn confirmation, the back office initiates an outbound fiat payment to the user's verified bank account.</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47">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Reconciliation of Totals</w:t>
      </w:r>
      <w:r w:rsidDel="00000000" w:rsidR="00000000" w:rsidRPr="00000000">
        <w:rPr>
          <w:rFonts w:ascii="Google Sans" w:cs="Google Sans" w:eastAsia="Google Sans" w:hAnsi="Google Sans"/>
          <w:color w:val="1f1f1f"/>
          <w:rtl w:val="0"/>
        </w:rPr>
        <w:t xml:space="preserve">: The team must ensure that the total circulating supply shown on the blockchain matches the reduced total of the fiat reserves at the end of the day.</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speed of these redemptions is often mandated by regulation; for instance, the Dubai Virtual Assets Regulatory Authority (VARA) requires same-day redemptions, while other jurisdictions may allow for </w:t>
      </w:r>
      <w:r w:rsidDel="00000000" w:rsidR="00000000" w:rsidRPr="00000000">
        <w:rPr>
          <w:rFonts w:ascii="Google Sans" w:cs="Google Sans" w:eastAsia="Google Sans" w:hAnsi="Google Sans"/>
          <w:color w:val="1f1f1f"/>
        </w:rPr>
        <w:drawing>
          <wp:inline distB="19050" distT="19050" distL="19050" distR="19050">
            <wp:extent cx="450850" cy="238306"/>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450850" cy="23830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or </w:t>
      </w:r>
      <w:r w:rsidDel="00000000" w:rsidR="00000000" w:rsidRPr="00000000">
        <w:rPr>
          <w:rFonts w:ascii="Google Sans" w:cs="Google Sans" w:eastAsia="Google Sans" w:hAnsi="Google Sans"/>
          <w:color w:val="1f1f1f"/>
        </w:rPr>
        <w:drawing>
          <wp:inline distB="19050" distT="19050" distL="19050" distR="19050">
            <wp:extent cx="450850" cy="238306"/>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50850" cy="238306"/>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 The back office must manually prioritize these requests to ensure the bank remains in compliance with these "timeliness" standards.</w:t>
      </w:r>
      <w:r w:rsidDel="00000000" w:rsidR="00000000" w:rsidRPr="00000000">
        <w:rPr>
          <w:rFonts w:ascii="Google Sans" w:cs="Google Sans" w:eastAsia="Google Sans" w:hAnsi="Google Sans"/>
          <w:color w:val="444746"/>
          <w:sz w:val="24"/>
          <w:szCs w:val="24"/>
          <w:vertAlign w:val="superscript"/>
          <w:rtl w:val="0"/>
        </w:rPr>
        <w:t xml:space="preserve">46</w:t>
      </w:r>
    </w:p>
    <w:p w:rsidR="00000000" w:rsidDel="00000000" w:rsidP="00000000" w:rsidRDefault="00000000" w:rsidRPr="00000000" w14:paraId="0000004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Compliance, Identity, and Investigative Operations</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Institutional digital asset operations are subject to the same Bank Secrecy Act (BSA) and Anti-Money Laundering (AML) obligations as traditional banking, but with added layers of blockchain-specific scrutiny.</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back office must manually perform identity verification for individuals, entities, and even the wallet addresses they use.</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4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Manual Whitelist and Address Governance</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"crypto whitelist" is a collection of approved wallet addresses that have been vetted and linked to a verified identity.</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Managing this list is a primary manual task for the compliance back office.</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Whitelisting Step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Manual Activity Required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Compliance Standard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Application Intake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Collecting government-issued IDs (passports, IDs) and biometric "liveness" checks.</w:t>
            </w:r>
            <w:r w:rsidDel="00000000" w:rsidR="00000000" w:rsidRPr="00000000">
              <w:rPr>
                <w:rFonts w:ascii="Google Sans" w:cs="Google Sans" w:eastAsia="Google Sans" w:hAnsi="Google Sans"/>
                <w:color w:val="444746"/>
                <w:sz w:val="24"/>
                <w:szCs w:val="24"/>
                <w:vertAlign w:val="superscript"/>
                <w:rtl w:val="0"/>
              </w:rPr>
              <w:t xml:space="preserve">34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Customer Identification Program (CIP).</w:t>
            </w:r>
            <w:r w:rsidDel="00000000" w:rsidR="00000000" w:rsidRPr="00000000">
              <w:rPr>
                <w:rFonts w:ascii="Google Sans" w:cs="Google Sans" w:eastAsia="Google Sans" w:hAnsi="Google Sans"/>
                <w:color w:val="444746"/>
                <w:sz w:val="24"/>
                <w:szCs w:val="24"/>
                <w:vertAlign w:val="superscript"/>
                <w:rtl w:val="0"/>
              </w:rPr>
              <w:t xml:space="preserve">51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Sanctions Screening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Manually checking names and wallet addresses against OFAC, UN, and UAE lists.</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Sanctions and OFAC Compliance.</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Accreditation Check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Verifying "accredited investor" status for specific asset classes like tokenized bonds.</w:t>
            </w:r>
            <w:r w:rsidDel="00000000" w:rsidR="00000000" w:rsidRPr="00000000">
              <w:rPr>
                <w:rFonts w:ascii="Google Sans" w:cs="Google Sans" w:eastAsia="Google Sans" w:hAnsi="Google Sans"/>
                <w:color w:val="444746"/>
                <w:sz w:val="24"/>
                <w:szCs w:val="24"/>
                <w:vertAlign w:val="superscript"/>
                <w:rtl w:val="0"/>
              </w:rPr>
              <w:t xml:space="preserve">34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Securities Law Adherence.</w:t>
            </w:r>
            <w:r w:rsidDel="00000000" w:rsidR="00000000" w:rsidRPr="00000000">
              <w:rPr>
                <w:rFonts w:ascii="Google Sans" w:cs="Google Sans" w:eastAsia="Google Sans" w:hAnsi="Google Sans"/>
                <w:color w:val="444746"/>
                <w:sz w:val="24"/>
                <w:szCs w:val="24"/>
                <w:vertAlign w:val="superscript"/>
                <w:rtl w:val="0"/>
              </w:rPr>
              <w:t xml:space="preserve">35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Smart Contract Entry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Manually adding the verified address to the "allow list" coded into the smart contract.</w:t>
            </w:r>
            <w:r w:rsidDel="00000000" w:rsidR="00000000" w:rsidRPr="00000000">
              <w:rPr>
                <w:rFonts w:ascii="Google Sans" w:cs="Google Sans" w:eastAsia="Google Sans" w:hAnsi="Google Sans"/>
                <w:color w:val="444746"/>
                <w:sz w:val="24"/>
                <w:szCs w:val="24"/>
                <w:vertAlign w:val="superscript"/>
                <w:rtl w:val="0"/>
              </w:rPr>
              <w:t xml:space="preserve">34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Smart Contract Governance.</w:t>
            </w:r>
            <w:r w:rsidDel="00000000" w:rsidR="00000000" w:rsidRPr="00000000">
              <w:rPr>
                <w:rFonts w:ascii="Google Sans" w:cs="Google Sans" w:eastAsia="Google Sans" w:hAnsi="Google Sans"/>
                <w:color w:val="444746"/>
                <w:sz w:val="24"/>
                <w:szCs w:val="24"/>
                <w:vertAlign w:val="superscript"/>
                <w:rtl w:val="0"/>
              </w:rPr>
              <w:t xml:space="preserve">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Periodic Audit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Reviewing the entire whitelist to identify and remove dormant or compromised addresses.</w:t>
            </w:r>
            <w:r w:rsidDel="00000000" w:rsidR="00000000" w:rsidRPr="00000000">
              <w:rPr>
                <w:rFonts w:ascii="Google Sans" w:cs="Google Sans" w:eastAsia="Google Sans" w:hAnsi="Google Sans"/>
                <w:color w:val="444746"/>
                <w:sz w:val="24"/>
                <w:szCs w:val="24"/>
                <w:vertAlign w:val="superscript"/>
                <w:rtl w:val="0"/>
              </w:rPr>
              <w:t xml:space="preserve">35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Address Governance.</w:t>
            </w:r>
            <w:r w:rsidDel="00000000" w:rsidR="00000000" w:rsidRPr="00000000">
              <w:rPr>
                <w:rFonts w:ascii="Google Sans" w:cs="Google Sans" w:eastAsia="Google Sans" w:hAnsi="Google Sans"/>
                <w:color w:val="444746"/>
                <w:sz w:val="24"/>
                <w:szCs w:val="24"/>
                <w:vertAlign w:val="superscript"/>
                <w:rtl w:val="0"/>
              </w:rPr>
              <w:t xml:space="preserve">37</w:t>
            </w:r>
          </w:p>
        </w:tc>
      </w:tr>
    </w:tbl>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whitelisting process ensures that the bank does not inadvertently facilitate a transaction for a sanctioned party or a "bad actor".</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Furthermore, the back office must manually handle the "Travel Rule" requirements, which involve exchanging originator and beneficiary information with other financial institutions for transfers exceeding a certain value (often $1,000 or $3,000 depending on the jurisdiction).</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6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AML Alert Triage and Forensic Investigation</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When an automated blockchain analytics tool flags a transaction as high-risk—perhaps because it was routed through a mixer or originated from a known high-risk protocol—the back office must manually investigate.</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This involves a "deep dive" into the flow of funds using forensic tools to trace the history of the specific tokens.</w:t>
      </w:r>
      <w:r w:rsidDel="00000000" w:rsidR="00000000" w:rsidRPr="00000000">
        <w:rPr>
          <w:rFonts w:ascii="Google Sans" w:cs="Google Sans" w:eastAsia="Google Sans" w:hAnsi="Google Sans"/>
          <w:color w:val="444746"/>
          <w:sz w:val="24"/>
          <w:szCs w:val="24"/>
          <w:vertAlign w:val="superscript"/>
          <w:rtl w:val="0"/>
        </w:rPr>
        <w:t xml:space="preserve">43</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investigative workflow includes:</w:t>
      </w:r>
    </w:p>
    <w:p w:rsidR="00000000" w:rsidDel="00000000" w:rsidP="00000000" w:rsidRDefault="00000000" w:rsidRPr="00000000" w14:paraId="00000064">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Triage of Alerts</w:t>
      </w:r>
      <w:r w:rsidDel="00000000" w:rsidR="00000000" w:rsidRPr="00000000">
        <w:rPr>
          <w:rFonts w:ascii="Google Sans" w:cs="Google Sans" w:eastAsia="Google Sans" w:hAnsi="Google Sans"/>
          <w:color w:val="1f1f1f"/>
          <w:rtl w:val="0"/>
        </w:rPr>
        <w:t xml:space="preserve">: Reviewing "Closed Alerts" and documenting the reasoning for either filing a SAR or dismissing the alert.</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65">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False Positive Adjudication</w:t>
      </w:r>
      <w:r w:rsidDel="00000000" w:rsidR="00000000" w:rsidRPr="00000000">
        <w:rPr>
          <w:rFonts w:ascii="Google Sans" w:cs="Google Sans" w:eastAsia="Google Sans" w:hAnsi="Google Sans"/>
          <w:color w:val="1f1f1f"/>
          <w:rtl w:val="0"/>
        </w:rPr>
        <w:t xml:space="preserve">: Manually reviewing transactions that were blocked due to "excessive transfer" or "burst in activity" rules to determine if they are legitimate business flows.</w:t>
      </w:r>
      <w:r w:rsidDel="00000000" w:rsidR="00000000" w:rsidRPr="00000000">
        <w:rPr>
          <w:rFonts w:ascii="Google Sans" w:cs="Google Sans" w:eastAsia="Google Sans" w:hAnsi="Google Sans"/>
          <w:color w:val="444746"/>
          <w:sz w:val="24"/>
          <w:szCs w:val="24"/>
          <w:vertAlign w:val="superscript"/>
          <w:rtl w:val="0"/>
        </w:rPr>
        <w:t xml:space="preserve">38</w:t>
      </w:r>
    </w:p>
    <w:p w:rsidR="00000000" w:rsidDel="00000000" w:rsidP="00000000" w:rsidRDefault="00000000" w:rsidRPr="00000000" w14:paraId="00000066">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SAR Narrative Development</w:t>
      </w:r>
      <w:r w:rsidDel="00000000" w:rsidR="00000000" w:rsidRPr="00000000">
        <w:rPr>
          <w:rFonts w:ascii="Google Sans" w:cs="Google Sans" w:eastAsia="Google Sans" w:hAnsi="Google Sans"/>
          <w:color w:val="1f1f1f"/>
          <w:rtl w:val="0"/>
        </w:rPr>
        <w:t xml:space="preserve">: Writing comprehensive "Suspicious Activity Reports" (SARs) that describe the on-chain behavior and the specific blockchain identifiers (TXIDs and addresses) involved.</w:t>
      </w:r>
      <w:r w:rsidDel="00000000" w:rsidR="00000000" w:rsidRPr="00000000">
        <w:rPr>
          <w:rFonts w:ascii="Google Sans" w:cs="Google Sans" w:eastAsia="Google Sans" w:hAnsi="Google Sans"/>
          <w:color w:val="444746"/>
          <w:sz w:val="24"/>
          <w:szCs w:val="24"/>
          <w:vertAlign w:val="superscript"/>
          <w:rtl w:val="0"/>
        </w:rPr>
        <w:t xml:space="preserve">48</w:t>
      </w:r>
    </w:p>
    <w:p w:rsidR="00000000" w:rsidDel="00000000" w:rsidP="00000000" w:rsidRDefault="00000000" w:rsidRPr="00000000" w14:paraId="00000067">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Lawful Orders Execution</w:t>
      </w:r>
      <w:r w:rsidDel="00000000" w:rsidR="00000000" w:rsidRPr="00000000">
        <w:rPr>
          <w:rFonts w:ascii="Google Sans" w:cs="Google Sans" w:eastAsia="Google Sans" w:hAnsi="Google Sans"/>
          <w:color w:val="1f1f1f"/>
          <w:rtl w:val="0"/>
        </w:rPr>
        <w:t xml:space="preserve">: Manually executing "Freeze" or "Seize" commands on specific tokens if the bank receives a subpoena or legal order from law enforcement.</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68">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Post-Trade Clearing, Settlement, and Reconciliation</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reconciliation process is perhaps the most labor-intensive manual activity in a digital asset back office.</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It requires a "three-way match" between the bank's internal ledger, the third-party custodian's records, and the immutable public blockchain.</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6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Manual Reconciliation Workflows across Disparate Ledgers</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back office team must manually extract and "normalize" data from these different sources because they often arrive in varied formats like CSV, XML, or JSON through multiple APIs.</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6C">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Data Aggregation</w:t>
      </w:r>
      <w:r w:rsidDel="00000000" w:rsidR="00000000" w:rsidRPr="00000000">
        <w:rPr>
          <w:rFonts w:ascii="Google Sans" w:cs="Google Sans" w:eastAsia="Google Sans" w:hAnsi="Google Sans"/>
          <w:color w:val="1f1f1f"/>
          <w:rtl w:val="0"/>
        </w:rPr>
        <w:t xml:space="preserve">: Gathering data from all connected sources—wallets, exchanges, custodians, and blockchain explorers.</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6D">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Normalization and Mapping</w:t>
      </w:r>
      <w:r w:rsidDel="00000000" w:rsidR="00000000" w:rsidRPr="00000000">
        <w:rPr>
          <w:rFonts w:ascii="Google Sans" w:cs="Google Sans" w:eastAsia="Google Sans" w:hAnsi="Google Sans"/>
          <w:color w:val="1f1f1f"/>
          <w:rtl w:val="0"/>
        </w:rPr>
        <w:t xml:space="preserve">: Standardizing currency formats, exchange rates, and transaction types. For example, ensuring that a "staking reward" is classified correctly across both the crypto sub-ledger and the general ledger.</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6E">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Transaction Matching</w:t>
      </w:r>
      <w:r w:rsidDel="00000000" w:rsidR="00000000" w:rsidRPr="00000000">
        <w:rPr>
          <w:rFonts w:ascii="Google Sans" w:cs="Google Sans" w:eastAsia="Google Sans" w:hAnsi="Google Sans"/>
          <w:color w:val="1f1f1f"/>
          <w:rtl w:val="0"/>
        </w:rPr>
        <w:t xml:space="preserve">: Manually cross-verifying that every single on-chain transaction ID (TXID) has a corresponding entry in the bank’s internal system.</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6F">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Break Investigation</w:t>
      </w:r>
      <w:r w:rsidDel="00000000" w:rsidR="00000000" w:rsidRPr="00000000">
        <w:rPr>
          <w:rFonts w:ascii="Google Sans" w:cs="Google Sans" w:eastAsia="Google Sans" w:hAnsi="Google Sans"/>
          <w:color w:val="1f1f1f"/>
          <w:rtl w:val="0"/>
        </w:rPr>
        <w:t xml:space="preserve">: When entries do not match, the staff must investigate the "root cause." This could be a "timing delay" (transaction recorded internally but not yet confirmed on-chain), a "clerical error" in data entry, or a "ghost transaction" (a failed on-chain transaction that was incorrectly logged as successful).</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70">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Adjustments and Journal Entries</w:t>
      </w:r>
      <w:r w:rsidDel="00000000" w:rsidR="00000000" w:rsidRPr="00000000">
        <w:rPr>
          <w:rFonts w:ascii="Google Sans" w:cs="Google Sans" w:eastAsia="Google Sans" w:hAnsi="Google Sans"/>
          <w:color w:val="1f1f1f"/>
          <w:rtl w:val="0"/>
        </w:rPr>
        <w:t xml:space="preserve">: Posting manual "journal entries" to correct discrepancies, such as unaccounted-for gas fees or discrepancies caused by volatile exchange rates during a cross-chain swap.</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institutional scale, the back office must maintain a "defensible audit trail".</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This involves generating monthly "reconciliation reports" that list every matched and unmatched entry, variance analysis, and the specific corrective actions taken to resolve them.</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7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Cost Basis Reconstruction and Tax Reporting</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unique manual burden for digital asset teams is "cost basis reconstruction".</w:t>
      </w:r>
      <w:r w:rsidDel="00000000" w:rsidR="00000000" w:rsidRPr="00000000">
        <w:rPr>
          <w:rFonts w:ascii="Google Sans" w:cs="Google Sans" w:eastAsia="Google Sans" w:hAnsi="Google Sans"/>
          <w:color w:val="444746"/>
          <w:sz w:val="24"/>
          <w:szCs w:val="24"/>
          <w:vertAlign w:val="superscript"/>
          <w:rtl w:val="0"/>
        </w:rPr>
        <w:t xml:space="preserve">61</w:t>
      </w:r>
      <w:r w:rsidDel="00000000" w:rsidR="00000000" w:rsidRPr="00000000">
        <w:rPr>
          <w:rFonts w:ascii="Google Sans" w:cs="Google Sans" w:eastAsia="Google Sans" w:hAnsi="Google Sans"/>
          <w:color w:val="1f1f1f"/>
          <w:rtl w:val="0"/>
        </w:rPr>
        <w:t xml:space="preserve"> Because of the "lot continuity" required for tax reporting (FIFO, LIFO, or Specific Identification), the back office must manually track the acquisition cost of every single token throughout its movement between various bank wallets and external exchanges.</w:t>
      </w:r>
      <w:r w:rsidDel="00000000" w:rsidR="00000000" w:rsidRPr="00000000">
        <w:rPr>
          <w:rFonts w:ascii="Google Sans" w:cs="Google Sans" w:eastAsia="Google Sans" w:hAnsi="Google Sans"/>
          <w:color w:val="444746"/>
          <w:sz w:val="24"/>
          <w:szCs w:val="24"/>
          <w:vertAlign w:val="superscript"/>
          <w:rtl w:val="0"/>
        </w:rPr>
        <w:t xml:space="preserve">60</w:t>
      </w:r>
      <w:r w:rsidDel="00000000" w:rsidR="00000000" w:rsidRPr="00000000">
        <w:rPr>
          <w:rFonts w:ascii="Google Sans" w:cs="Google Sans" w:eastAsia="Google Sans" w:hAnsi="Google Sans"/>
          <w:color w:val="1f1f1f"/>
          <w:rtl w:val="0"/>
        </w:rPr>
        <w:t xml:space="preserve"> This reconstruction must produce a system that is "internally consistent" across all tax periods and can withstand an audit by tax authorities.</w:t>
      </w:r>
      <w:r w:rsidDel="00000000" w:rsidR="00000000" w:rsidRPr="00000000">
        <w:rPr>
          <w:rFonts w:ascii="Google Sans" w:cs="Google Sans" w:eastAsia="Google Sans" w:hAnsi="Google Sans"/>
          <w:color w:val="444746"/>
          <w:sz w:val="24"/>
          <w:szCs w:val="24"/>
          <w:vertAlign w:val="superscript"/>
          <w:rtl w:val="0"/>
        </w:rPr>
        <w:t xml:space="preserve">61</w:t>
      </w:r>
      <w:r w:rsidDel="00000000" w:rsidR="00000000" w:rsidRPr="00000000">
        <w:rPr>
          <w:rFonts w:ascii="Google Sans" w:cs="Google Sans" w:eastAsia="Google Sans" w:hAnsi="Google Sans"/>
          <w:color w:val="1f1f1f"/>
          <w:rtl w:val="0"/>
        </w:rPr>
        <w:t xml:space="preserve"> Any disposals (sales or transfers to third parties) must be traced back to a documented acquisition to establish a "defensible basis".</w:t>
      </w:r>
      <w:r w:rsidDel="00000000" w:rsidR="00000000" w:rsidRPr="00000000">
        <w:rPr>
          <w:rFonts w:ascii="Google Sans" w:cs="Google Sans" w:eastAsia="Google Sans" w:hAnsi="Google Sans"/>
          <w:color w:val="444746"/>
          <w:sz w:val="24"/>
          <w:szCs w:val="24"/>
          <w:vertAlign w:val="superscript"/>
          <w:rtl w:val="0"/>
        </w:rPr>
        <w:t xml:space="preserve">69</w:t>
      </w:r>
    </w:p>
    <w:p w:rsidR="00000000" w:rsidDel="00000000" w:rsidP="00000000" w:rsidRDefault="00000000" w:rsidRPr="00000000" w14:paraId="0000007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Smart Contract Administration and Oracle Oversight</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As banking becomes increasingly automated through the power of "smart contracts," the role of the back office shifts toward the manual governance of the code that executes these transactions.</w:t>
      </w:r>
      <w:r w:rsidDel="00000000" w:rsidR="00000000" w:rsidRPr="00000000">
        <w:rPr>
          <w:rFonts w:ascii="Google Sans" w:cs="Google Sans" w:eastAsia="Google Sans" w:hAnsi="Google Sans"/>
          <w:color w:val="444746"/>
          <w:sz w:val="24"/>
          <w:szCs w:val="24"/>
          <w:vertAlign w:val="superscript"/>
          <w:rtl w:val="0"/>
        </w:rPr>
        <w:t xml:space="preserve">70</w:t>
      </w:r>
      <w:r w:rsidDel="00000000" w:rsidR="00000000" w:rsidRPr="00000000">
        <w:rPr>
          <w:rFonts w:ascii="Google Sans" w:cs="Google Sans" w:eastAsia="Google Sans" w:hAnsi="Google Sans"/>
          <w:color w:val="1f1f1f"/>
          <w:rtl w:val="0"/>
        </w:rPr>
        <w:t xml:space="preserve"> Even "zero-touch accounting" systems require manual oversight to manage exceptions, perform contract audits, and ensure that the "data that works based on conditions" remains accurate.</w:t>
      </w:r>
      <w:r w:rsidDel="00000000" w:rsidR="00000000" w:rsidRPr="00000000">
        <w:rPr>
          <w:rFonts w:ascii="Google Sans" w:cs="Google Sans" w:eastAsia="Google Sans" w:hAnsi="Google Sans"/>
          <w:color w:val="444746"/>
          <w:sz w:val="24"/>
          <w:szCs w:val="24"/>
          <w:vertAlign w:val="superscript"/>
          <w:rtl w:val="0"/>
        </w:rPr>
        <w:t xml:space="preserve">70</w:t>
      </w:r>
    </w:p>
    <w:p w:rsidR="00000000" w:rsidDel="00000000" w:rsidP="00000000" w:rsidRDefault="00000000" w:rsidRPr="00000000" w14:paraId="0000007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Manual Parameters and Upgrade Governance</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Operations teams are responsible for the manual "administration" of the bank's deployed smart contracts.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This includes:</w:t>
      </w:r>
    </w:p>
    <w:p w:rsidR="00000000" w:rsidDel="00000000" w:rsidP="00000000" w:rsidRDefault="00000000" w:rsidRPr="00000000" w14:paraId="00000078">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Parameter Adjustment</w:t>
      </w:r>
      <w:r w:rsidDel="00000000" w:rsidR="00000000" w:rsidRPr="00000000">
        <w:rPr>
          <w:rFonts w:ascii="Google Sans" w:cs="Google Sans" w:eastAsia="Google Sans" w:hAnsi="Google Sans"/>
          <w:color w:val="1f1f1f"/>
          <w:rtl w:val="0"/>
        </w:rPr>
        <w:t xml:space="preserve">: Manually updating variables within a contract, such as fee structures, interest rates, or collateralization ratios, which are often governed by a "multi-sig" approval process.</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79">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Upgrade Management</w:t>
      </w:r>
      <w:r w:rsidDel="00000000" w:rsidR="00000000" w:rsidRPr="00000000">
        <w:rPr>
          <w:rFonts w:ascii="Google Sans" w:cs="Google Sans" w:eastAsia="Google Sans" w:hAnsi="Google Sans"/>
          <w:color w:val="1f1f1f"/>
          <w:rtl w:val="0"/>
        </w:rPr>
        <w:t xml:space="preserve">: For upgradeable smart contracts (Proxies), the back office must oversee a multi-step "deployment workflow" that includes internal peer review, external security audits (e.g., Trail of Bits), and a "timelock controller" that delays the change for 48-72 hours to allow for final verification.</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7A">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Emergency Lever Operation</w:t>
      </w:r>
      <w:r w:rsidDel="00000000" w:rsidR="00000000" w:rsidRPr="00000000">
        <w:rPr>
          <w:rFonts w:ascii="Google Sans" w:cs="Google Sans" w:eastAsia="Google Sans" w:hAnsi="Google Sans"/>
          <w:color w:val="1f1f1f"/>
          <w:rtl w:val="0"/>
        </w:rPr>
        <w:t xml:space="preserve">: In the event of an exploit or a "de-pegging" crisis, the back office must have a manual procedure for pulling "emergency levers" to pause the contract and prevent further asset loss.</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7B">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Oracle Data Feed Monitoring and Price Overrides</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Smart contracts often depend on "oracles"—trusted data feeds that fetch off-chain information such as FX rates or asset prices.</w:t>
      </w:r>
      <w:r w:rsidDel="00000000" w:rsidR="00000000" w:rsidRPr="00000000">
        <w:rPr>
          <w:rFonts w:ascii="Google Sans" w:cs="Google Sans" w:eastAsia="Google Sans" w:hAnsi="Google Sans"/>
          <w:color w:val="444746"/>
          <w:sz w:val="24"/>
          <w:szCs w:val="24"/>
          <w:vertAlign w:val="superscript"/>
          <w:rtl w:val="0"/>
        </w:rPr>
        <w:t xml:space="preserve">72</w:t>
      </w:r>
      <w:r w:rsidDel="00000000" w:rsidR="00000000" w:rsidRPr="00000000">
        <w:rPr>
          <w:rFonts w:ascii="Google Sans" w:cs="Google Sans" w:eastAsia="Google Sans" w:hAnsi="Google Sans"/>
          <w:color w:val="1f1f1f"/>
          <w:rtl w:val="0"/>
        </w:rPr>
        <w:t xml:space="preserve"> However, oracles are vulnerable to "data poisoning" or "price manipulation" attacks.</w:t>
      </w:r>
      <w:r w:rsidDel="00000000" w:rsidR="00000000" w:rsidRPr="00000000">
        <w:rPr>
          <w:rFonts w:ascii="Google Sans" w:cs="Google Sans" w:eastAsia="Google Sans" w:hAnsi="Google Sans"/>
          <w:color w:val="444746"/>
          <w:sz w:val="24"/>
          <w:szCs w:val="24"/>
          <w:vertAlign w:val="superscript"/>
          <w:rtl w:val="0"/>
        </w:rPr>
        <w:t xml:space="preserve">77</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back office must manually monitor these data feeds for "anomalies." If an oracle provides a price that deviates significantly from the broader market (perhaps due to a flash loan attack on a low-liquidity pool), the operations team must manually intervene.</w:t>
      </w:r>
      <w:r w:rsidDel="00000000" w:rsidR="00000000" w:rsidRPr="00000000">
        <w:rPr>
          <w:rFonts w:ascii="Google Sans" w:cs="Google Sans" w:eastAsia="Google Sans" w:hAnsi="Google Sans"/>
          <w:color w:val="444746"/>
          <w:sz w:val="24"/>
          <w:szCs w:val="24"/>
          <w:vertAlign w:val="superscript"/>
          <w:rtl w:val="0"/>
        </w:rPr>
        <w:t xml:space="preserve">77</w:t>
      </w:r>
      <w:r w:rsidDel="00000000" w:rsidR="00000000" w:rsidRPr="00000000">
        <w:rPr>
          <w:rFonts w:ascii="Google Sans" w:cs="Google Sans" w:eastAsia="Google Sans" w:hAnsi="Google Sans"/>
          <w:color w:val="1f1f1f"/>
          <w:rtl w:val="0"/>
        </w:rPr>
        <w:t xml:space="preserve"> This intervention may involve "switching to a secondary oracle," manually "overriding a price" in a settlement protocol, or "pausing the contract" until the data feed is restored to accuracy.</w:t>
      </w:r>
      <w:r w:rsidDel="00000000" w:rsidR="00000000" w:rsidRPr="00000000">
        <w:rPr>
          <w:rFonts w:ascii="Google Sans" w:cs="Google Sans" w:eastAsia="Google Sans" w:hAnsi="Google Sans"/>
          <w:color w:val="444746"/>
          <w:sz w:val="24"/>
          <w:szCs w:val="24"/>
          <w:vertAlign w:val="superscript"/>
          <w:rtl w:val="0"/>
        </w:rPr>
        <w:t xml:space="preserve">77</w:t>
      </w:r>
      <w:r w:rsidDel="00000000" w:rsidR="00000000" w:rsidRPr="00000000">
        <w:rPr>
          <w:rFonts w:ascii="Google Sans" w:cs="Google Sans" w:eastAsia="Google Sans" w:hAnsi="Google Sans"/>
          <w:color w:val="1f1f1f"/>
          <w:rtl w:val="0"/>
        </w:rPr>
        <w:t xml:space="preserve"> This "architectural pattern" of human oversight is essential to mitigate the irreversible risks of decentralized financial interactions.</w:t>
      </w:r>
      <w:r w:rsidDel="00000000" w:rsidR="00000000" w:rsidRPr="00000000">
        <w:rPr>
          <w:rFonts w:ascii="Google Sans" w:cs="Google Sans" w:eastAsia="Google Sans" w:hAnsi="Google Sans"/>
          <w:color w:val="444746"/>
          <w:sz w:val="24"/>
          <w:szCs w:val="24"/>
          <w:vertAlign w:val="superscript"/>
          <w:rtl w:val="0"/>
        </w:rPr>
        <w:t xml:space="preserve">77</w:t>
      </w:r>
    </w:p>
    <w:p w:rsidR="00000000" w:rsidDel="00000000" w:rsidP="00000000" w:rsidRDefault="00000000" w:rsidRPr="00000000" w14:paraId="0000007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Operational Resilience, Business Continuity, and Recovery</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final domain of the back office is the maintenance of the bank’s operational resilience framework.</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Digital assets introduce novel risks, such as the "deletion" of assets through the loss of a key holder, requiring a robust manual "fiduciary succession plan".</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8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Disaster Recovery and Key Restoration Procedures</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back office must develop and test manual procedures for "key restoration".</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82">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Hard Recovery</w:t>
      </w:r>
      <w:r w:rsidDel="00000000" w:rsidR="00000000" w:rsidRPr="00000000">
        <w:rPr>
          <w:rFonts w:ascii="Google Sans" w:cs="Google Sans" w:eastAsia="Google Sans" w:hAnsi="Google Sans"/>
          <w:color w:val="1f1f1f"/>
          <w:rtl w:val="0"/>
        </w:rPr>
        <w:t xml:space="preserve">: Reconstruction of the entire private key seed from physically dispersed backups in the event of a total system failure.</w:t>
      </w:r>
      <w:r w:rsidDel="00000000" w:rsidR="00000000" w:rsidRPr="00000000">
        <w:rPr>
          <w:rFonts w:ascii="Google Sans" w:cs="Google Sans" w:eastAsia="Google Sans" w:hAnsi="Google Sans"/>
          <w:color w:val="444746"/>
          <w:sz w:val="24"/>
          <w:szCs w:val="24"/>
          <w:vertAlign w:val="superscript"/>
          <w:rtl w:val="0"/>
        </w:rPr>
        <w:t xml:space="preserve">83</w:t>
      </w:r>
      <w:r w:rsidDel="00000000" w:rsidR="00000000" w:rsidRPr="00000000">
        <w:rPr>
          <w:rFonts w:ascii="Google Sans" w:cs="Google Sans" w:eastAsia="Google Sans" w:hAnsi="Google Sans"/>
          <w:color w:val="1f1f1f"/>
          <w:rtl w:val="0"/>
        </w:rPr>
        <w:t xml:space="preserve"> This requires a manual ceremony similar to the initial key generation.</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83">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Soft Recovery</w:t>
      </w:r>
      <w:r w:rsidDel="00000000" w:rsidR="00000000" w:rsidRPr="00000000">
        <w:rPr>
          <w:rFonts w:ascii="Google Sans" w:cs="Google Sans" w:eastAsia="Google Sans" w:hAnsi="Google Sans"/>
          <w:color w:val="1f1f1f"/>
          <w:rtl w:val="0"/>
        </w:rPr>
        <w:t xml:space="preserve">: Recovering a specific device’s key shard while the institution still has access to the remaining quorum.</w:t>
      </w:r>
      <w:r w:rsidDel="00000000" w:rsidR="00000000" w:rsidRPr="00000000">
        <w:rPr>
          <w:rFonts w:ascii="Google Sans" w:cs="Google Sans" w:eastAsia="Google Sans" w:hAnsi="Google Sans"/>
          <w:color w:val="444746"/>
          <w:sz w:val="24"/>
          <w:szCs w:val="24"/>
          <w:vertAlign w:val="superscript"/>
          <w:rtl w:val="0"/>
        </w:rPr>
        <w:t xml:space="preserve">83</w:t>
      </w:r>
    </w:p>
    <w:p w:rsidR="00000000" w:rsidDel="00000000" w:rsidP="00000000" w:rsidRDefault="00000000" w:rsidRPr="00000000" w14:paraId="00000084">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Verification of Backups</w:t>
      </w:r>
      <w:r w:rsidDel="00000000" w:rsidR="00000000" w:rsidRPr="00000000">
        <w:rPr>
          <w:rFonts w:ascii="Google Sans" w:cs="Google Sans" w:eastAsia="Google Sans" w:hAnsi="Google Sans"/>
          <w:color w:val="1f1f1f"/>
          <w:rtl w:val="0"/>
        </w:rPr>
        <w:t xml:space="preserve">: Performing regular "restoration protocols" where the team initializes a device, restores from a backup, and confirms the balance, ensuring that the recovery process is guaranteed to work before an actual emergency occurs.</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85">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Continuity Planning and Regulatory Reporting</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Back office staff must also manage the "ongoing compliance" and "reporting" obligations that maintain the bank's license.</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87">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Proof of Reserves (PoR)</w:t>
      </w:r>
      <w:r w:rsidDel="00000000" w:rsidR="00000000" w:rsidRPr="00000000">
        <w:rPr>
          <w:rFonts w:ascii="Google Sans" w:cs="Google Sans" w:eastAsia="Google Sans" w:hAnsi="Google Sans"/>
          <w:color w:val="1f1f1f"/>
          <w:rtl w:val="0"/>
        </w:rPr>
        <w:t xml:space="preserve">: Generating real-time or monthly PoR attestations that prove the existence of, and the bank’s sole control over, fully segregated client assets.</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88">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Monthly Disclosure Certificates</w:t>
      </w:r>
      <w:r w:rsidDel="00000000" w:rsidR="00000000" w:rsidRPr="00000000">
        <w:rPr>
          <w:rFonts w:ascii="Google Sans" w:cs="Google Sans" w:eastAsia="Google Sans" w:hAnsi="Google Sans"/>
          <w:color w:val="1f1f1f"/>
          <w:rtl w:val="0"/>
        </w:rPr>
        <w:t xml:space="preserve">: Manually certifying that reserve assets match the disclosed supply, often requiring the signature of the CEO or CFO.</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89">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Incident Response Testing</w:t>
      </w:r>
      <w:r w:rsidDel="00000000" w:rsidR="00000000" w:rsidRPr="00000000">
        <w:rPr>
          <w:rFonts w:ascii="Google Sans" w:cs="Google Sans" w:eastAsia="Google Sans" w:hAnsi="Google Sans"/>
          <w:color w:val="1f1f1f"/>
          <w:rtl w:val="0"/>
        </w:rPr>
        <w:t xml:space="preserve">: Conducting annual "tabletop exercises" or simulations of blockchain-specific events, such as 51% attacks, smart contract exploits, or sudden regulatory shifts.</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8A">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Synthesis of a Scale-Ready Digital Asset Back Office</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transition of a bank from legacy fiat operations to a scale-ready digital asset institution is not merely a technological upgrade but a transformation of the "human-in-the-loop" logic.</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While "automation" is the end-goal of many digital initiatives, the high-stakes, irreversible nature of blockchain necessitates a more proactive and cryptographically-literate back office.</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successful team must blend traditional banking disciplines—such as reconciliation, audit, and AML—with new technical skills like gas management, oracle monitoring, and cryptographic key governance.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following summary checklist serves as the operational baseline for this new paradigm.</w:t>
      </w:r>
    </w:p>
    <w:p w:rsidR="00000000" w:rsidDel="00000000" w:rsidP="00000000" w:rsidRDefault="00000000" w:rsidRPr="00000000" w14:paraId="0000008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Comprehensive Checklist of Manual Activities for Bank Operations Teams</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Category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High-Priority Manual Activity Checklist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Frequency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Asset Initialization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 ] Draft and Rehearse Ceremony Storybook </w:t>
            </w:r>
            <w:r w:rsidDel="00000000" w:rsidR="00000000" w:rsidRPr="00000000">
              <w:rPr>
                <w:rFonts w:ascii="Google Sans" w:cs="Google Sans" w:eastAsia="Google Sans" w:hAnsi="Google Sans"/>
                <w:color w:val="444746"/>
                <w:sz w:val="24"/>
                <w:szCs w:val="24"/>
                <w:vertAlign w:val="superscript"/>
                <w:rtl w:val="0"/>
              </w:rPr>
              <w:t xml:space="preserve">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Event-driven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 ] Verify Hardware Integrity and Sourcing </w:t>
            </w:r>
            <w:r w:rsidDel="00000000" w:rsidR="00000000" w:rsidRPr="00000000">
              <w:rPr>
                <w:rFonts w:ascii="Google Sans" w:cs="Google Sans" w:eastAsia="Google Sans" w:hAnsi="Google Sans"/>
                <w:color w:val="444746"/>
                <w:sz w:val="24"/>
                <w:szCs w:val="24"/>
                <w:vertAlign w:val="superscript"/>
                <w:rtl w:val="0"/>
              </w:rPr>
              <w:t xml:space="preserve">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Initial setup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 ] Execute Key Generation with Multi-Person Quorum </w:t>
            </w:r>
            <w:r w:rsidDel="00000000" w:rsidR="00000000" w:rsidRPr="00000000">
              <w:rPr>
                <w:rFonts w:ascii="Google Sans" w:cs="Google Sans" w:eastAsia="Google Sans" w:hAnsi="Google Sans"/>
                <w:color w:val="444746"/>
                <w:sz w:val="24"/>
                <w:szCs w:val="24"/>
                <w:vertAlign w:val="superscript"/>
                <w:rtl w:val="0"/>
              </w:rPr>
              <w:t xml:space="preserve">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Initial setup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Custody &amp; Rebalancing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 ] Physically Verify Geographically Dispersed Shards </w:t>
            </w:r>
            <w:r w:rsidDel="00000000" w:rsidR="00000000" w:rsidRPr="00000000">
              <w:rPr>
                <w:rFonts w:ascii="Google Sans" w:cs="Google Sans" w:eastAsia="Google Sans" w:hAnsi="Google Sans"/>
                <w:color w:val="444746"/>
                <w:sz w:val="24"/>
                <w:szCs w:val="24"/>
                <w:vertAlign w:val="superscript"/>
                <w:rtl w:val="0"/>
              </w:rPr>
              <w:t xml:space="preserve">14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Monthly/Annual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 ] Manually Authorize Transfers from Cold to Hot Storage </w:t>
            </w:r>
            <w:r w:rsidDel="00000000" w:rsidR="00000000" w:rsidRPr="00000000">
              <w:rPr>
                <w:rFonts w:ascii="Google Sans" w:cs="Google Sans" w:eastAsia="Google Sans" w:hAnsi="Google Sans"/>
                <w:color w:val="444746"/>
                <w:sz w:val="24"/>
                <w:szCs w:val="24"/>
                <w:vertAlign w:val="superscript"/>
                <w:rtl w:val="0"/>
              </w:rPr>
              <w:t xml:space="preserve">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Daily/As-needed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 ] Conduct Biometric Verification for High-Value Transactions </w:t>
            </w:r>
            <w:r w:rsidDel="00000000" w:rsidR="00000000" w:rsidRPr="00000000">
              <w:rPr>
                <w:rFonts w:ascii="Google Sans" w:cs="Google Sans" w:eastAsia="Google Sans" w:hAnsi="Google Sans"/>
                <w:color w:val="444746"/>
                <w:sz w:val="24"/>
                <w:szCs w:val="24"/>
                <w:vertAlign w:val="superscript"/>
                <w:rtl w:val="0"/>
              </w:rPr>
              <w:t xml:space="preserve">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Real-time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Mint/Burn Cycles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 ] Cross-Reference Fiat Receipt with On-Chain Minting </w:t>
            </w:r>
            <w:r w:rsidDel="00000000" w:rsidR="00000000" w:rsidRPr="00000000">
              <w:rPr>
                <w:rFonts w:ascii="Google Sans" w:cs="Google Sans" w:eastAsia="Google Sans" w:hAnsi="Google Sans"/>
                <w:color w:val="444746"/>
                <w:sz w:val="24"/>
                <w:szCs w:val="24"/>
                <w:vertAlign w:val="superscript"/>
                <w:rtl w:val="0"/>
              </w:rPr>
              <w:t xml:space="preserve">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Daily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 ] Investigate Redemptions via Blockchain Analytics </w:t>
            </w:r>
            <w:r w:rsidDel="00000000" w:rsidR="00000000" w:rsidRPr="00000000">
              <w:rPr>
                <w:rFonts w:ascii="Google Sans" w:cs="Google Sans" w:eastAsia="Google Sans" w:hAnsi="Google Sans"/>
                <w:color w:val="444746"/>
                <w:sz w:val="24"/>
                <w:szCs w:val="24"/>
                <w:vertAlign w:val="superscript"/>
                <w:rtl w:val="0"/>
              </w:rPr>
              <w:t xml:space="preserve">36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Real-time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 ] Certify Monthly Reserve Composition and Backing </w:t>
            </w:r>
            <w:r w:rsidDel="00000000" w:rsidR="00000000" w:rsidRPr="00000000">
              <w:rPr>
                <w:rFonts w:ascii="Google Sans" w:cs="Google Sans" w:eastAsia="Google Sans" w:hAnsi="Google Sans"/>
                <w:color w:val="444746"/>
                <w:sz w:val="24"/>
                <w:szCs w:val="24"/>
                <w:vertAlign w:val="superscript"/>
                <w:rtl w:val="0"/>
              </w:rPr>
              <w:t xml:space="preserve">36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Monthly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Transaction Processing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 ] Monitor and Resolve Stuck Transactions (Nonce/Gas Override) </w:t>
            </w:r>
            <w:r w:rsidDel="00000000" w:rsidR="00000000" w:rsidRPr="00000000">
              <w:rPr>
                <w:rFonts w:ascii="Google Sans" w:cs="Google Sans" w:eastAsia="Google Sans" w:hAnsi="Google Sans"/>
                <w:color w:val="444746"/>
                <w:sz w:val="24"/>
                <w:szCs w:val="24"/>
                <w:vertAlign w:val="superscript"/>
                <w:rtl w:val="0"/>
              </w:rPr>
              <w:t xml:space="preserve">29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Continuous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 ] Manage Whitelist Additions and Removals </w:t>
            </w:r>
            <w:r w:rsidDel="00000000" w:rsidR="00000000" w:rsidRPr="00000000">
              <w:rPr>
                <w:rFonts w:ascii="Google Sans" w:cs="Google Sans" w:eastAsia="Google Sans" w:hAnsi="Google Sans"/>
                <w:color w:val="444746"/>
                <w:sz w:val="24"/>
                <w:szCs w:val="24"/>
                <w:vertAlign w:val="superscript"/>
                <w:rtl w:val="0"/>
              </w:rPr>
              <w:t xml:space="preserve">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Continuous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 ] Perform Manual Travel Rule Data Exchanges </w:t>
            </w:r>
            <w:r w:rsidDel="00000000" w:rsidR="00000000" w:rsidRPr="00000000">
              <w:rPr>
                <w:rFonts w:ascii="Google Sans" w:cs="Google Sans" w:eastAsia="Google Sans" w:hAnsi="Google Sans"/>
                <w:color w:val="444746"/>
                <w:sz w:val="24"/>
                <w:szCs w:val="24"/>
                <w:vertAlign w:val="superscript"/>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Real-time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Financial Controls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 ] Execute Three-Way Reconciliation (On-Chain/ERP/Custodian) </w:t>
            </w:r>
            <w:r w:rsidDel="00000000" w:rsidR="00000000" w:rsidRPr="00000000">
              <w:rPr>
                <w:rFonts w:ascii="Google Sans" w:cs="Google Sans" w:eastAsia="Google Sans" w:hAnsi="Google Sans"/>
                <w:color w:val="444746"/>
                <w:sz w:val="24"/>
                <w:szCs w:val="24"/>
                <w:vertAlign w:val="superscript"/>
                <w:rtl w:val="0"/>
              </w:rPr>
              <w:t xml:space="preserve">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Daily/Monthly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 ] Investigate and Resolve Mismatches (Breaks) </w:t>
            </w:r>
            <w:r w:rsidDel="00000000" w:rsidR="00000000" w:rsidRPr="00000000">
              <w:rPr>
                <w:rFonts w:ascii="Google Sans" w:cs="Google Sans" w:eastAsia="Google Sans" w:hAnsi="Google Sans"/>
                <w:color w:val="444746"/>
                <w:sz w:val="24"/>
                <w:szCs w:val="24"/>
                <w:vertAlign w:val="superscript"/>
                <w:rtl w:val="0"/>
              </w:rPr>
              <w:t xml:space="preserve">13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Daily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 ] Reconstruct Cost Basis for Token Disposition and Tax </w:t>
            </w:r>
            <w:r w:rsidDel="00000000" w:rsidR="00000000" w:rsidRPr="00000000">
              <w:rPr>
                <w:rFonts w:ascii="Google Sans" w:cs="Google Sans" w:eastAsia="Google Sans" w:hAnsi="Google Sans"/>
                <w:color w:val="444746"/>
                <w:sz w:val="24"/>
                <w:szCs w:val="24"/>
                <w:vertAlign w:val="superscript"/>
                <w:rtl w:val="0"/>
              </w:rPr>
              <w:t xml:space="preserve">61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Monthly/Annual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Tech Governance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 ] Monitor Oracle Feeds and Perform Price Overrides if Necessary </w:t>
            </w:r>
            <w:r w:rsidDel="00000000" w:rsidR="00000000" w:rsidRPr="00000000">
              <w:rPr>
                <w:rFonts w:ascii="Google Sans" w:cs="Google Sans" w:eastAsia="Google Sans" w:hAnsi="Google Sans"/>
                <w:color w:val="444746"/>
                <w:sz w:val="24"/>
                <w:szCs w:val="24"/>
                <w:vertAlign w:val="superscript"/>
                <w:rtl w:val="0"/>
              </w:rPr>
              <w:t xml:space="preserve">77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Continuous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 ] Review and Approve Smart Contract Parameter Changes </w:t>
            </w:r>
            <w:r w:rsidDel="00000000" w:rsidR="00000000" w:rsidRPr="00000000">
              <w:rPr>
                <w:rFonts w:ascii="Google Sans" w:cs="Google Sans" w:eastAsia="Google Sans" w:hAnsi="Google Sans"/>
                <w:color w:val="444746"/>
                <w:sz w:val="24"/>
                <w:szCs w:val="24"/>
                <w:vertAlign w:val="superscript"/>
                <w:rtl w:val="0"/>
              </w:rPr>
              <w:t xml:space="preserve">71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Event-driven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 ] Test Key Restoration and BCDR Protocols </w:t>
            </w:r>
            <w:r w:rsidDel="00000000" w:rsidR="00000000" w:rsidRPr="00000000">
              <w:rPr>
                <w:rFonts w:ascii="Google Sans" w:cs="Google Sans" w:eastAsia="Google Sans" w:hAnsi="Google Sans"/>
                <w:color w:val="444746"/>
                <w:sz w:val="24"/>
                <w:szCs w:val="24"/>
                <w:vertAlign w:val="superscript"/>
                <w:rtl w:val="0"/>
              </w:rPr>
              <w:t xml:space="preserve">14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Annual</w:t>
            </w:r>
          </w:p>
        </w:tc>
      </w:tr>
    </w:tbl>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establishment of these manual procedures provides the foundational scaffolding that allows a bank to move from a "holding risk" posture to a "managing risk" posture in the digital asset space.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As the regulatory environment stabilizes and institutional adoption deepens, the ability of a back office to execute these cryptographically-informed manual tasks will be the primary differentiator between success and catastrophic failure in the new digital financial system.</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C9">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C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Managing Digital Asset Operations on Blockchain Networks: A Comprehensive Overview, accessed April 6, 2026, </w:t>
      </w:r>
      <w:hyperlink r:id="rId8">
        <w:r w:rsidDel="00000000" w:rsidR="00000000" w:rsidRPr="00000000">
          <w:rPr>
            <w:rFonts w:ascii="Google Sans" w:cs="Google Sans" w:eastAsia="Google Sans" w:hAnsi="Google Sans"/>
            <w:color w:val="0000ee"/>
            <w:sz w:val="24"/>
            <w:szCs w:val="24"/>
            <w:u w:val="single"/>
            <w:rtl w:val="0"/>
          </w:rPr>
          <w:t xml:space="preserve">https://medium.com/@gwrx2005/managing-digital-asset-operations-on-blockchain-networks-a-comprehensive-overview-a093a7666033</w:t>
        </w:r>
      </w:hyperlink>
      <w:r w:rsidDel="00000000" w:rsidR="00000000" w:rsidRPr="00000000">
        <w:rPr>
          <w:rtl w:val="0"/>
        </w:rPr>
      </w:r>
    </w:p>
    <w:p w:rsidR="00000000" w:rsidDel="00000000" w:rsidP="00000000" w:rsidRDefault="00000000" w:rsidRPr="00000000" w14:paraId="000000C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Crypto-Asset Safekeeping: What's Involved If You're a Bank (or if You Want to Be One) | Morrison Foerster, accessed April 6, 2026, </w:t>
      </w:r>
      <w:hyperlink r:id="rId9">
        <w:r w:rsidDel="00000000" w:rsidR="00000000" w:rsidRPr="00000000">
          <w:rPr>
            <w:rFonts w:ascii="Google Sans" w:cs="Google Sans" w:eastAsia="Google Sans" w:hAnsi="Google Sans"/>
            <w:color w:val="0000ee"/>
            <w:sz w:val="24"/>
            <w:szCs w:val="24"/>
            <w:u w:val="single"/>
            <w:rtl w:val="0"/>
          </w:rPr>
          <w:t xml:space="preserve">https://www.mofo.com/resources/insights/250724-crypto-asset-safekeeping-what-s-involved</w:t>
        </w:r>
      </w:hyperlink>
      <w:r w:rsidDel="00000000" w:rsidR="00000000" w:rsidRPr="00000000">
        <w:rPr>
          <w:rtl w:val="0"/>
        </w:rPr>
      </w:r>
    </w:p>
    <w:p w:rsidR="00000000" w:rsidDel="00000000" w:rsidP="00000000" w:rsidRDefault="00000000" w:rsidRPr="00000000" w14:paraId="000000C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Federal Banking Regulators Issue Guidance on Risk Management for Crypto-Asset Safekeeping Activities | Insights | Greenberg Traurig LLP, accessed April 6, 2026, </w:t>
      </w:r>
      <w:hyperlink r:id="rId10">
        <w:r w:rsidDel="00000000" w:rsidR="00000000" w:rsidRPr="00000000">
          <w:rPr>
            <w:rFonts w:ascii="Google Sans" w:cs="Google Sans" w:eastAsia="Google Sans" w:hAnsi="Google Sans"/>
            <w:color w:val="0000ee"/>
            <w:sz w:val="24"/>
            <w:szCs w:val="24"/>
            <w:u w:val="single"/>
            <w:rtl w:val="0"/>
          </w:rPr>
          <w:t xml:space="preserve">https://www.gtlaw.com/en/insights/2025/7/federal-banking-regulators-issue-guidance-on-risk-management-for-crypto-asset-safekeeping-activities</w:t>
        </w:r>
      </w:hyperlink>
      <w:r w:rsidDel="00000000" w:rsidR="00000000" w:rsidRPr="00000000">
        <w:rPr>
          <w:rtl w:val="0"/>
        </w:rPr>
      </w:r>
    </w:p>
    <w:p w:rsidR="00000000" w:rsidDel="00000000" w:rsidP="00000000" w:rsidRDefault="00000000" w:rsidRPr="00000000" w14:paraId="000000C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Digital Asset Custody? Solutions, Benefits &amp; Challenges - Fireblocks, accessed April 6, 2026, </w:t>
      </w:r>
      <w:hyperlink r:id="rId11">
        <w:r w:rsidDel="00000000" w:rsidR="00000000" w:rsidRPr="00000000">
          <w:rPr>
            <w:rFonts w:ascii="Google Sans" w:cs="Google Sans" w:eastAsia="Google Sans" w:hAnsi="Google Sans"/>
            <w:color w:val="0000ee"/>
            <w:sz w:val="24"/>
            <w:szCs w:val="24"/>
            <w:u w:val="single"/>
            <w:rtl w:val="0"/>
          </w:rPr>
          <w:t xml:space="preserve">https://www.fireblocks.com/digital-asset-custody</w:t>
        </w:r>
      </w:hyperlink>
      <w:r w:rsidDel="00000000" w:rsidR="00000000" w:rsidRPr="00000000">
        <w:rPr>
          <w:rtl w:val="0"/>
        </w:rPr>
      </w:r>
    </w:p>
    <w:p w:rsidR="00000000" w:rsidDel="00000000" w:rsidP="00000000" w:rsidRDefault="00000000" w:rsidRPr="00000000" w14:paraId="000000C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Custody of Digital Assets: Centralized Safekeeping of DecentralizedAssets under the Investment Advisers Act - Debevoise, accessed April 6, 2026, </w:t>
      </w:r>
      <w:hyperlink r:id="rId12">
        <w:r w:rsidDel="00000000" w:rsidR="00000000" w:rsidRPr="00000000">
          <w:rPr>
            <w:rFonts w:ascii="Google Sans" w:cs="Google Sans" w:eastAsia="Google Sans" w:hAnsi="Google Sans"/>
            <w:color w:val="0000ee"/>
            <w:sz w:val="24"/>
            <w:szCs w:val="24"/>
            <w:u w:val="single"/>
            <w:rtl w:val="0"/>
          </w:rPr>
          <w:t xml:space="preserve">https://www.debevoise.com/~/media/files/insights/publications/2018/12/20181217_custody_of_digital_assets.pdf</w:t>
        </w:r>
      </w:hyperlink>
      <w:r w:rsidDel="00000000" w:rsidR="00000000" w:rsidRPr="00000000">
        <w:rPr>
          <w:rtl w:val="0"/>
        </w:rPr>
      </w:r>
    </w:p>
    <w:p w:rsidR="00000000" w:rsidDel="00000000" w:rsidP="00000000" w:rsidRDefault="00000000" w:rsidRPr="00000000" w14:paraId="000000C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Crypto asset management: How fund structure, custody, and governance fit together - Stripe, accessed April 6, 2026, </w:t>
      </w:r>
      <w:hyperlink r:id="rId13">
        <w:r w:rsidDel="00000000" w:rsidR="00000000" w:rsidRPr="00000000">
          <w:rPr>
            <w:rFonts w:ascii="Google Sans" w:cs="Google Sans" w:eastAsia="Google Sans" w:hAnsi="Google Sans"/>
            <w:color w:val="0000ee"/>
            <w:sz w:val="24"/>
            <w:szCs w:val="24"/>
            <w:u w:val="single"/>
            <w:rtl w:val="0"/>
          </w:rPr>
          <w:t xml:space="preserve">https://stripe.com/resources/more/crypto-asset-management</w:t>
        </w:r>
      </w:hyperlink>
      <w:r w:rsidDel="00000000" w:rsidR="00000000" w:rsidRPr="00000000">
        <w:rPr>
          <w:rtl w:val="0"/>
        </w:rPr>
      </w:r>
    </w:p>
    <w:p w:rsidR="00000000" w:rsidDel="00000000" w:rsidP="00000000" w:rsidRDefault="00000000" w:rsidRPr="00000000" w14:paraId="000000D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Operationalizing Digital Asset Custody Compliance for Banks - Fireblocks, accessed April 6, 2026, </w:t>
      </w:r>
      <w:hyperlink r:id="rId14">
        <w:r w:rsidDel="00000000" w:rsidR="00000000" w:rsidRPr="00000000">
          <w:rPr>
            <w:rFonts w:ascii="Google Sans" w:cs="Google Sans" w:eastAsia="Google Sans" w:hAnsi="Google Sans"/>
            <w:color w:val="0000ee"/>
            <w:sz w:val="24"/>
            <w:szCs w:val="24"/>
            <w:u w:val="single"/>
            <w:rtl w:val="0"/>
          </w:rPr>
          <w:t xml:space="preserve">https://www.fireblocks.com/blog/digital-asset-custody-compliance-banks</w:t>
        </w:r>
      </w:hyperlink>
      <w:r w:rsidDel="00000000" w:rsidR="00000000" w:rsidRPr="00000000">
        <w:rPr>
          <w:rtl w:val="0"/>
        </w:rPr>
      </w:r>
    </w:p>
    <w:p w:rsidR="00000000" w:rsidDel="00000000" w:rsidP="00000000" w:rsidRDefault="00000000" w:rsidRPr="00000000" w14:paraId="000000D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Evaluating Crypto Custody Firms: Institutional Guide 2025 - Cobo Wallet, accessed April 6, 2026, </w:t>
      </w:r>
      <w:hyperlink r:id="rId15">
        <w:r w:rsidDel="00000000" w:rsidR="00000000" w:rsidRPr="00000000">
          <w:rPr>
            <w:rFonts w:ascii="Google Sans" w:cs="Google Sans" w:eastAsia="Google Sans" w:hAnsi="Google Sans"/>
            <w:color w:val="0000ee"/>
            <w:sz w:val="24"/>
            <w:szCs w:val="24"/>
            <w:u w:val="single"/>
            <w:rtl w:val="0"/>
          </w:rPr>
          <w:t xml:space="preserve">https://www.cobo.com/post/the-definitive-guide-to-evaluating-crypto-custody-firms-for-institutional-investors</w:t>
        </w:r>
      </w:hyperlink>
      <w:r w:rsidDel="00000000" w:rsidR="00000000" w:rsidRPr="00000000">
        <w:rPr>
          <w:rtl w:val="0"/>
        </w:rPr>
      </w:r>
    </w:p>
    <w:p w:rsidR="00000000" w:rsidDel="00000000" w:rsidP="00000000" w:rsidRDefault="00000000" w:rsidRPr="00000000" w14:paraId="000000D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Digital Asset Custody for Crypto Exchanges: How It Works and What to Look For, accessed April 6, 2026, </w:t>
      </w:r>
      <w:hyperlink r:id="rId16">
        <w:r w:rsidDel="00000000" w:rsidR="00000000" w:rsidRPr="00000000">
          <w:rPr>
            <w:rFonts w:ascii="Google Sans" w:cs="Google Sans" w:eastAsia="Google Sans" w:hAnsi="Google Sans"/>
            <w:color w:val="0000ee"/>
            <w:sz w:val="24"/>
            <w:szCs w:val="24"/>
            <w:u w:val="single"/>
            <w:rtl w:val="0"/>
          </w:rPr>
          <w:t xml:space="preserve">https://www.liminalcustody.com/blog/exploring-digital-asset-custody-for-exchanges-a-complete-guide/</w:t>
        </w:r>
      </w:hyperlink>
      <w:r w:rsidDel="00000000" w:rsidR="00000000" w:rsidRPr="00000000">
        <w:rPr>
          <w:rtl w:val="0"/>
        </w:rPr>
      </w:r>
    </w:p>
    <w:p w:rsidR="00000000" w:rsidDel="00000000" w:rsidP="00000000" w:rsidRDefault="00000000" w:rsidRPr="00000000" w14:paraId="000000D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Back Office in Banks: How Does It Work? - SYDLE One, accessed April 6, 2026, </w:t>
      </w:r>
      <w:hyperlink r:id="rId17">
        <w:r w:rsidDel="00000000" w:rsidR="00000000" w:rsidRPr="00000000">
          <w:rPr>
            <w:rFonts w:ascii="Google Sans" w:cs="Google Sans" w:eastAsia="Google Sans" w:hAnsi="Google Sans"/>
            <w:color w:val="0000ee"/>
            <w:sz w:val="24"/>
            <w:szCs w:val="24"/>
            <w:u w:val="single"/>
            <w:rtl w:val="0"/>
          </w:rPr>
          <w:t xml:space="preserve">https://www.sydle.com/blog/back-office-in-banks-67eaca0d437a7e5a46e2f5a0</w:t>
        </w:r>
      </w:hyperlink>
      <w:r w:rsidDel="00000000" w:rsidR="00000000" w:rsidRPr="00000000">
        <w:rPr>
          <w:rtl w:val="0"/>
        </w:rPr>
      </w:r>
    </w:p>
    <w:p w:rsidR="00000000" w:rsidDel="00000000" w:rsidP="00000000" w:rsidRDefault="00000000" w:rsidRPr="00000000" w14:paraId="000000D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Crypto custody: A practical guide to securing digital assets and managing institutional risk, accessed April 6, 2026, </w:t>
      </w:r>
      <w:hyperlink r:id="rId18">
        <w:r w:rsidDel="00000000" w:rsidR="00000000" w:rsidRPr="00000000">
          <w:rPr>
            <w:rFonts w:ascii="Google Sans" w:cs="Google Sans" w:eastAsia="Google Sans" w:hAnsi="Google Sans"/>
            <w:color w:val="0000ee"/>
            <w:sz w:val="24"/>
            <w:szCs w:val="24"/>
            <w:u w:val="single"/>
            <w:rtl w:val="0"/>
          </w:rPr>
          <w:t xml:space="preserve">https://stripe.com/en-br/resources/more/crypto-custody</w:t>
        </w:r>
      </w:hyperlink>
      <w:r w:rsidDel="00000000" w:rsidR="00000000" w:rsidRPr="00000000">
        <w:rPr>
          <w:rtl w:val="0"/>
        </w:rPr>
      </w:r>
    </w:p>
    <w:p w:rsidR="00000000" w:rsidDel="00000000" w:rsidP="00000000" w:rsidRDefault="00000000" w:rsidRPr="00000000" w14:paraId="000000D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Payment Reconciliation and how does it work? - Aurum Solutions, accessed April 6, 2026, </w:t>
      </w:r>
      <w:hyperlink r:id="rId19">
        <w:r w:rsidDel="00000000" w:rsidR="00000000" w:rsidRPr="00000000">
          <w:rPr>
            <w:rFonts w:ascii="Google Sans" w:cs="Google Sans" w:eastAsia="Google Sans" w:hAnsi="Google Sans"/>
            <w:color w:val="0000ee"/>
            <w:sz w:val="24"/>
            <w:szCs w:val="24"/>
            <w:u w:val="single"/>
            <w:rtl w:val="0"/>
          </w:rPr>
          <w:t xml:space="preserve">https://aurum.solutions/resources/what-is-payment-reconciliation-and-how-does-it-work</w:t>
        </w:r>
      </w:hyperlink>
      <w:r w:rsidDel="00000000" w:rsidR="00000000" w:rsidRPr="00000000">
        <w:rPr>
          <w:rtl w:val="0"/>
        </w:rPr>
      </w:r>
    </w:p>
    <w:p w:rsidR="00000000" w:rsidDel="00000000" w:rsidP="00000000" w:rsidRDefault="00000000" w:rsidRPr="00000000" w14:paraId="000000D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Crypto Reconciliation: Trust, Fraud Detection &amp; Accuracy, accessed April 6, 2026, </w:t>
      </w:r>
      <w:hyperlink r:id="rId20">
        <w:r w:rsidDel="00000000" w:rsidR="00000000" w:rsidRPr="00000000">
          <w:rPr>
            <w:rFonts w:ascii="Google Sans" w:cs="Google Sans" w:eastAsia="Google Sans" w:hAnsi="Google Sans"/>
            <w:color w:val="0000ee"/>
            <w:sz w:val="24"/>
            <w:szCs w:val="24"/>
            <w:u w:val="single"/>
            <w:rtl w:val="0"/>
          </w:rPr>
          <w:t xml:space="preserve">https://www.osfin.ai/blog/crypto-reconciliation</w:t>
        </w:r>
      </w:hyperlink>
      <w:r w:rsidDel="00000000" w:rsidR="00000000" w:rsidRPr="00000000">
        <w:rPr>
          <w:rtl w:val="0"/>
        </w:rPr>
      </w:r>
    </w:p>
    <w:p w:rsidR="00000000" w:rsidDel="00000000" w:rsidP="00000000" w:rsidRDefault="00000000" w:rsidRPr="00000000" w14:paraId="000000D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Crypto Custody Solutions: Complete 2026 Guide for Institutions - Cobo Wallet, accessed April 6, 2026, </w:t>
      </w:r>
      <w:hyperlink r:id="rId21">
        <w:r w:rsidDel="00000000" w:rsidR="00000000" w:rsidRPr="00000000">
          <w:rPr>
            <w:rFonts w:ascii="Google Sans" w:cs="Google Sans" w:eastAsia="Google Sans" w:hAnsi="Google Sans"/>
            <w:color w:val="0000ee"/>
            <w:sz w:val="24"/>
            <w:szCs w:val="24"/>
            <w:u w:val="single"/>
            <w:rtl w:val="0"/>
          </w:rPr>
          <w:t xml:space="preserve">https://www.cobo.com/post/crypto-custody-solutions-complete-guide</w:t>
        </w:r>
      </w:hyperlink>
      <w:r w:rsidDel="00000000" w:rsidR="00000000" w:rsidRPr="00000000">
        <w:rPr>
          <w:rtl w:val="0"/>
        </w:rPr>
      </w:r>
    </w:p>
    <w:p w:rsidR="00000000" w:rsidDel="00000000" w:rsidP="00000000" w:rsidRDefault="00000000" w:rsidRPr="00000000" w14:paraId="000000D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Crypto-Asset Safekeeping by Banking Organizations - FDIC, accessed April 6, 2026, </w:t>
      </w:r>
      <w:hyperlink r:id="rId22">
        <w:r w:rsidDel="00000000" w:rsidR="00000000" w:rsidRPr="00000000">
          <w:rPr>
            <w:rFonts w:ascii="Google Sans" w:cs="Google Sans" w:eastAsia="Google Sans" w:hAnsi="Google Sans"/>
            <w:color w:val="0000ee"/>
            <w:sz w:val="24"/>
            <w:szCs w:val="24"/>
            <w:u w:val="single"/>
            <w:rtl w:val="0"/>
          </w:rPr>
          <w:t xml:space="preserve">https://www.fdic.gov/interagency-statement-crypto-asset-safekeeping.pdf</w:t>
        </w:r>
      </w:hyperlink>
      <w:r w:rsidDel="00000000" w:rsidR="00000000" w:rsidRPr="00000000">
        <w:rPr>
          <w:rtl w:val="0"/>
        </w:rPr>
      </w:r>
    </w:p>
    <w:p w:rsidR="00000000" w:rsidDel="00000000" w:rsidP="00000000" w:rsidRDefault="00000000" w:rsidRPr="00000000" w14:paraId="000000D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Crypto custody: a private key to success | PwC Switzerland, accessed April 6, 2026, </w:t>
      </w:r>
      <w:hyperlink r:id="rId23">
        <w:r w:rsidDel="00000000" w:rsidR="00000000" w:rsidRPr="00000000">
          <w:rPr>
            <w:rFonts w:ascii="Google Sans" w:cs="Google Sans" w:eastAsia="Google Sans" w:hAnsi="Google Sans"/>
            <w:color w:val="0000ee"/>
            <w:sz w:val="24"/>
            <w:szCs w:val="24"/>
            <w:u w:val="single"/>
            <w:rtl w:val="0"/>
          </w:rPr>
          <w:t xml:space="preserve">https://www.pwc.ch/en/insights/digital/crypto-custody-a-private-key-to-success.html</w:t>
        </w:r>
      </w:hyperlink>
      <w:r w:rsidDel="00000000" w:rsidR="00000000" w:rsidRPr="00000000">
        <w:rPr>
          <w:rtl w:val="0"/>
        </w:rPr>
      </w:r>
    </w:p>
    <w:p w:rsidR="00000000" w:rsidDel="00000000" w:rsidP="00000000" w:rsidRDefault="00000000" w:rsidRPr="00000000" w14:paraId="000000D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Crypto custody: A practical guide to securing digital assets and managing institutional risk, accessed April 6, 2026, </w:t>
      </w:r>
      <w:hyperlink r:id="rId24">
        <w:r w:rsidDel="00000000" w:rsidR="00000000" w:rsidRPr="00000000">
          <w:rPr>
            <w:rFonts w:ascii="Google Sans" w:cs="Google Sans" w:eastAsia="Google Sans" w:hAnsi="Google Sans"/>
            <w:color w:val="0000ee"/>
            <w:sz w:val="24"/>
            <w:szCs w:val="24"/>
            <w:u w:val="single"/>
            <w:rtl w:val="0"/>
          </w:rPr>
          <w:t xml:space="preserve">https://stripe.com/resources/more/crypto-custody</w:t>
        </w:r>
      </w:hyperlink>
      <w:r w:rsidDel="00000000" w:rsidR="00000000" w:rsidRPr="00000000">
        <w:rPr>
          <w:rtl w:val="0"/>
        </w:rPr>
      </w:r>
    </w:p>
    <w:p w:rsidR="00000000" w:rsidDel="00000000" w:rsidP="00000000" w:rsidRDefault="00000000" w:rsidRPr="00000000" w14:paraId="000000D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Trusted Key Ceremony Guidelines - Cloudfront.net, accessed April 6, 2026, </w:t>
      </w:r>
      <w:hyperlink r:id="rId25">
        <w:r w:rsidDel="00000000" w:rsidR="00000000" w:rsidRPr="00000000">
          <w:rPr>
            <w:rFonts w:ascii="Google Sans" w:cs="Google Sans" w:eastAsia="Google Sans" w:hAnsi="Google Sans"/>
            <w:color w:val="0000ee"/>
            <w:sz w:val="24"/>
            <w:szCs w:val="24"/>
            <w:u w:val="single"/>
            <w:rtl w:val="0"/>
          </w:rPr>
          <w:t xml:space="preserve">https://d1c2gz5q23tkk0.cloudfront.net/assets/uploads/2956620/asset/CVA_Trusted_Key_Ceremony_Guidelines.pdf?1594131972</w:t>
        </w:r>
      </w:hyperlink>
      <w:r w:rsidDel="00000000" w:rsidR="00000000" w:rsidRPr="00000000">
        <w:rPr>
          <w:rtl w:val="0"/>
        </w:rPr>
      </w:r>
    </w:p>
    <w:p w:rsidR="00000000" w:rsidDel="00000000" w:rsidP="00000000" w:rsidRDefault="00000000" w:rsidRPr="00000000" w14:paraId="000000D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CVA publishes key ceremony guidelines for digital asset protection - - Enterprise Times, accessed April 6, 2026, </w:t>
      </w:r>
      <w:hyperlink r:id="rId26">
        <w:r w:rsidDel="00000000" w:rsidR="00000000" w:rsidRPr="00000000">
          <w:rPr>
            <w:rFonts w:ascii="Google Sans" w:cs="Google Sans" w:eastAsia="Google Sans" w:hAnsi="Google Sans"/>
            <w:color w:val="0000ee"/>
            <w:sz w:val="24"/>
            <w:szCs w:val="24"/>
            <w:u w:val="single"/>
            <w:rtl w:val="0"/>
          </w:rPr>
          <w:t xml:space="preserve">https://www.enterprisetimes.co.uk/2020/07/09/cva-publishes-key-ceremony-guidelines-for-digital-asset-protection/</w:t>
        </w:r>
      </w:hyperlink>
      <w:r w:rsidDel="00000000" w:rsidR="00000000" w:rsidRPr="00000000">
        <w:rPr>
          <w:rtl w:val="0"/>
        </w:rPr>
      </w:r>
    </w:p>
    <w:p w:rsidR="00000000" w:rsidDel="00000000" w:rsidP="00000000" w:rsidRDefault="00000000" w:rsidRPr="00000000" w14:paraId="000000D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Security checklist - Product Manuals - Cobo Portal, accessed April 6, 2026, </w:t>
      </w:r>
      <w:hyperlink r:id="rId27">
        <w:r w:rsidDel="00000000" w:rsidR="00000000" w:rsidRPr="00000000">
          <w:rPr>
            <w:rFonts w:ascii="Google Sans" w:cs="Google Sans" w:eastAsia="Google Sans" w:hAnsi="Google Sans"/>
            <w:color w:val="0000ee"/>
            <w:sz w:val="24"/>
            <w:szCs w:val="24"/>
            <w:u w:val="single"/>
            <w:rtl w:val="0"/>
          </w:rPr>
          <w:t xml:space="preserve">https://manuals.cobo.com/en/portal/security-checklist</w:t>
        </w:r>
      </w:hyperlink>
      <w:r w:rsidDel="00000000" w:rsidR="00000000" w:rsidRPr="00000000">
        <w:rPr>
          <w:rtl w:val="0"/>
        </w:rPr>
      </w:r>
    </w:p>
    <w:p w:rsidR="00000000" w:rsidDel="00000000" w:rsidP="00000000" w:rsidRDefault="00000000" w:rsidRPr="00000000" w14:paraId="000000D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Comprehensive SOX and ICFR Architecture for Digital Asset Custodians, Exchanges, and Tokenization Platforms - Technical Disclosure Commons, accessed April 6, 2026, </w:t>
      </w:r>
      <w:hyperlink r:id="rId28">
        <w:r w:rsidDel="00000000" w:rsidR="00000000" w:rsidRPr="00000000">
          <w:rPr>
            <w:rFonts w:ascii="Google Sans" w:cs="Google Sans" w:eastAsia="Google Sans" w:hAnsi="Google Sans"/>
            <w:color w:val="0000ee"/>
            <w:sz w:val="24"/>
            <w:szCs w:val="24"/>
            <w:u w:val="single"/>
            <w:rtl w:val="0"/>
          </w:rPr>
          <w:t xml:space="preserve">https://www.tdcommons.org/cgi/viewcontent.cgi?article=10152&amp;context=dpubs_series</w:t>
        </w:r>
      </w:hyperlink>
      <w:r w:rsidDel="00000000" w:rsidR="00000000" w:rsidRPr="00000000">
        <w:rPr>
          <w:rtl w:val="0"/>
        </w:rPr>
      </w:r>
    </w:p>
    <w:p w:rsidR="00000000" w:rsidDel="00000000" w:rsidP="00000000" w:rsidRDefault="00000000" w:rsidRPr="00000000" w14:paraId="000000D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2026 Institutional Guide to Private Key Governance - ChainUp, accessed April 6, 2026, </w:t>
      </w:r>
      <w:hyperlink r:id="rId29">
        <w:r w:rsidDel="00000000" w:rsidR="00000000" w:rsidRPr="00000000">
          <w:rPr>
            <w:rFonts w:ascii="Google Sans" w:cs="Google Sans" w:eastAsia="Google Sans" w:hAnsi="Google Sans"/>
            <w:color w:val="0000ee"/>
            <w:sz w:val="24"/>
            <w:szCs w:val="24"/>
            <w:u w:val="single"/>
            <w:rtl w:val="0"/>
          </w:rPr>
          <w:t xml:space="preserve">https://www.chainup.com/blog/institutional-private-key-governance-non-custodial-framework-2026/</w:t>
        </w:r>
      </w:hyperlink>
      <w:r w:rsidDel="00000000" w:rsidR="00000000" w:rsidRPr="00000000">
        <w:rPr>
          <w:rtl w:val="0"/>
        </w:rPr>
      </w:r>
    </w:p>
    <w:p w:rsidR="00000000" w:rsidDel="00000000" w:rsidP="00000000" w:rsidRDefault="00000000" w:rsidRPr="00000000" w14:paraId="000000E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Custody - Fidelity Digital Assets, accessed April 6, 2026, </w:t>
      </w:r>
      <w:hyperlink r:id="rId30">
        <w:r w:rsidDel="00000000" w:rsidR="00000000" w:rsidRPr="00000000">
          <w:rPr>
            <w:rFonts w:ascii="Google Sans" w:cs="Google Sans" w:eastAsia="Google Sans" w:hAnsi="Google Sans"/>
            <w:color w:val="0000ee"/>
            <w:sz w:val="24"/>
            <w:szCs w:val="24"/>
            <w:u w:val="single"/>
            <w:rtl w:val="0"/>
          </w:rPr>
          <w:t xml:space="preserve">https://www.fidelitydigitalassets.com/trading-custody</w:t>
        </w:r>
      </w:hyperlink>
      <w:r w:rsidDel="00000000" w:rsidR="00000000" w:rsidRPr="00000000">
        <w:rPr>
          <w:rtl w:val="0"/>
        </w:rPr>
      </w:r>
    </w:p>
    <w:p w:rsidR="00000000" w:rsidDel="00000000" w:rsidP="00000000" w:rsidRDefault="00000000" w:rsidRPr="00000000" w14:paraId="000000E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Minting and Burning Coins: What It Means on a Crypto Exchange | HollaEx, accessed April 6, 2026, </w:t>
      </w:r>
      <w:hyperlink r:id="rId31">
        <w:r w:rsidDel="00000000" w:rsidR="00000000" w:rsidRPr="00000000">
          <w:rPr>
            <w:rFonts w:ascii="Google Sans" w:cs="Google Sans" w:eastAsia="Google Sans" w:hAnsi="Google Sans"/>
            <w:color w:val="0000ee"/>
            <w:sz w:val="24"/>
            <w:szCs w:val="24"/>
            <w:u w:val="single"/>
            <w:rtl w:val="0"/>
          </w:rPr>
          <w:t xml:space="preserve">https://www.hollaex.com/blog/minting-and-burning-coin-on-a-crypto-exchange-and-what-it-means</w:t>
        </w:r>
      </w:hyperlink>
      <w:r w:rsidDel="00000000" w:rsidR="00000000" w:rsidRPr="00000000">
        <w:rPr>
          <w:rtl w:val="0"/>
        </w:rPr>
      </w:r>
    </w:p>
    <w:p w:rsidR="00000000" w:rsidDel="00000000" w:rsidP="00000000" w:rsidRDefault="00000000" w:rsidRPr="00000000" w14:paraId="000000E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Crypto Custody for Institutions - Anchorage Digital, accessed April 6, 2026, </w:t>
      </w:r>
      <w:hyperlink r:id="rId32">
        <w:r w:rsidDel="00000000" w:rsidR="00000000" w:rsidRPr="00000000">
          <w:rPr>
            <w:rFonts w:ascii="Google Sans" w:cs="Google Sans" w:eastAsia="Google Sans" w:hAnsi="Google Sans"/>
            <w:color w:val="0000ee"/>
            <w:sz w:val="24"/>
            <w:szCs w:val="24"/>
            <w:u w:val="single"/>
            <w:rtl w:val="0"/>
          </w:rPr>
          <w:t xml:space="preserve">https://www.anchorage.com/platform/custody</w:t>
        </w:r>
      </w:hyperlink>
      <w:r w:rsidDel="00000000" w:rsidR="00000000" w:rsidRPr="00000000">
        <w:rPr>
          <w:rtl w:val="0"/>
        </w:rPr>
      </w:r>
    </w:p>
    <w:p w:rsidR="00000000" w:rsidDel="00000000" w:rsidP="00000000" w:rsidRDefault="00000000" w:rsidRPr="00000000" w14:paraId="000000E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Crypto Accounting Platforms Approach Multi-Chain Reconciliation - Bitwave, accessed April 6, 2026, </w:t>
      </w:r>
      <w:hyperlink r:id="rId33">
        <w:r w:rsidDel="00000000" w:rsidR="00000000" w:rsidRPr="00000000">
          <w:rPr>
            <w:rFonts w:ascii="Google Sans" w:cs="Google Sans" w:eastAsia="Google Sans" w:hAnsi="Google Sans"/>
            <w:color w:val="0000ee"/>
            <w:sz w:val="24"/>
            <w:szCs w:val="24"/>
            <w:u w:val="single"/>
            <w:rtl w:val="0"/>
          </w:rPr>
          <w:t xml:space="preserve">https://www.bitwave.io/blog/multi-chain-reconciliation-platforms</w:t>
        </w:r>
      </w:hyperlink>
      <w:r w:rsidDel="00000000" w:rsidR="00000000" w:rsidRPr="00000000">
        <w:rPr>
          <w:rtl w:val="0"/>
        </w:rPr>
      </w:r>
    </w:p>
    <w:p w:rsidR="00000000" w:rsidDel="00000000" w:rsidP="00000000" w:rsidRDefault="00000000" w:rsidRPr="00000000" w14:paraId="000000E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Burn and Mint? | Chainlink, accessed April 6, 2026, </w:t>
      </w:r>
      <w:hyperlink r:id="rId34">
        <w:r w:rsidDel="00000000" w:rsidR="00000000" w:rsidRPr="00000000">
          <w:rPr>
            <w:rFonts w:ascii="Google Sans" w:cs="Google Sans" w:eastAsia="Google Sans" w:hAnsi="Google Sans"/>
            <w:color w:val="0000ee"/>
            <w:sz w:val="24"/>
            <w:szCs w:val="24"/>
            <w:u w:val="single"/>
            <w:rtl w:val="0"/>
          </w:rPr>
          <w:t xml:space="preserve">https://chain.link/article/burn-and-mint-transfer</w:t>
        </w:r>
      </w:hyperlink>
      <w:r w:rsidDel="00000000" w:rsidR="00000000" w:rsidRPr="00000000">
        <w:rPr>
          <w:rtl w:val="0"/>
        </w:rPr>
      </w:r>
    </w:p>
    <w:p w:rsidR="00000000" w:rsidDel="00000000" w:rsidP="00000000" w:rsidRDefault="00000000" w:rsidRPr="00000000" w14:paraId="000000E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did my transaction fail with an 'Out of Gas' error? How can I fix it? - MetaMask Support, accessed April 6, 2026, </w:t>
      </w:r>
      <w:hyperlink r:id="rId35">
        <w:r w:rsidDel="00000000" w:rsidR="00000000" w:rsidRPr="00000000">
          <w:rPr>
            <w:rFonts w:ascii="Google Sans" w:cs="Google Sans" w:eastAsia="Google Sans" w:hAnsi="Google Sans"/>
            <w:color w:val="0000ee"/>
            <w:sz w:val="24"/>
            <w:szCs w:val="24"/>
            <w:u w:val="single"/>
            <w:rtl w:val="0"/>
          </w:rPr>
          <w:t xml:space="preserve">https://support.metamask.io/manage-crypto/transactions/why-did-my-transaction-fail-with-an-out-of-gas-error-how-can-i-fix-it/</w:t>
        </w:r>
      </w:hyperlink>
      <w:r w:rsidDel="00000000" w:rsidR="00000000" w:rsidRPr="00000000">
        <w:rPr>
          <w:rtl w:val="0"/>
        </w:rPr>
      </w:r>
    </w:p>
    <w:p w:rsidR="00000000" w:rsidDel="00000000" w:rsidP="00000000" w:rsidRDefault="00000000" w:rsidRPr="00000000" w14:paraId="000000E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modify or cancel a pending Ethereum transaction - TradingView, accessed April 6, 2026, </w:t>
      </w:r>
      <w:hyperlink r:id="rId36">
        <w:r w:rsidDel="00000000" w:rsidR="00000000" w:rsidRPr="00000000">
          <w:rPr>
            <w:rFonts w:ascii="Google Sans" w:cs="Google Sans" w:eastAsia="Google Sans" w:hAnsi="Google Sans"/>
            <w:color w:val="0000ee"/>
            <w:sz w:val="24"/>
            <w:szCs w:val="24"/>
            <w:u w:val="single"/>
            <w:rtl w:val="0"/>
          </w:rPr>
          <w:t xml:space="preserve">https://www.tradingview.com/news/cointelegraph:9107c8b8c094b:0-how-to-modify-or-cancel-a-pending-ethereum-transaction/</w:t>
        </w:r>
      </w:hyperlink>
      <w:r w:rsidDel="00000000" w:rsidR="00000000" w:rsidRPr="00000000">
        <w:rPr>
          <w:rtl w:val="0"/>
        </w:rPr>
      </w:r>
    </w:p>
    <w:p w:rsidR="00000000" w:rsidDel="00000000" w:rsidP="00000000" w:rsidRDefault="00000000" w:rsidRPr="00000000" w14:paraId="000000E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to do when you have a stuck transaction on the Ethereum network? : r/CryptoCurrency, accessed April 6, 2026, </w:t>
      </w:r>
      <w:hyperlink r:id="rId37">
        <w:r w:rsidDel="00000000" w:rsidR="00000000" w:rsidRPr="00000000">
          <w:rPr>
            <w:rFonts w:ascii="Google Sans" w:cs="Google Sans" w:eastAsia="Google Sans" w:hAnsi="Google Sans"/>
            <w:color w:val="0000ee"/>
            <w:sz w:val="24"/>
            <w:szCs w:val="24"/>
            <w:u w:val="single"/>
            <w:rtl w:val="0"/>
          </w:rPr>
          <w:t xml:space="preserve">https://www.reddit.com/r/CryptoCurrency/comments/1683711/what_to_do_when_you_have_a_stuck_transaction_on/</w:t>
        </w:r>
      </w:hyperlink>
      <w:r w:rsidDel="00000000" w:rsidR="00000000" w:rsidRPr="00000000">
        <w:rPr>
          <w:rtl w:val="0"/>
        </w:rPr>
      </w:r>
    </w:p>
    <w:p w:rsidR="00000000" w:rsidDel="00000000" w:rsidP="00000000" w:rsidRDefault="00000000" w:rsidRPr="00000000" w14:paraId="000000E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Ethereum transaction is stuck or pending - BitBox Support Hub, accessed April 6, 2026, </w:t>
      </w:r>
      <w:hyperlink r:id="rId38">
        <w:r w:rsidDel="00000000" w:rsidR="00000000" w:rsidRPr="00000000">
          <w:rPr>
            <w:rFonts w:ascii="Google Sans" w:cs="Google Sans" w:eastAsia="Google Sans" w:hAnsi="Google Sans"/>
            <w:color w:val="0000ee"/>
            <w:sz w:val="24"/>
            <w:szCs w:val="24"/>
            <w:u w:val="single"/>
            <w:rtl w:val="0"/>
          </w:rPr>
          <w:t xml:space="preserve">https://support.bitbox.swiss/en_US/bitboxapp-issues/ethereum-transaction-stuck-pending</w:t>
        </w:r>
      </w:hyperlink>
      <w:r w:rsidDel="00000000" w:rsidR="00000000" w:rsidRPr="00000000">
        <w:rPr>
          <w:rtl w:val="0"/>
        </w:rPr>
      </w:r>
    </w:p>
    <w:p w:rsidR="00000000" w:rsidDel="00000000" w:rsidP="00000000" w:rsidRDefault="00000000" w:rsidRPr="00000000" w14:paraId="000000E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Dropping and replacing a stuck transaction - Curve Resources, accessed April 6, 2026, </w:t>
      </w:r>
      <w:hyperlink r:id="rId39">
        <w:r w:rsidDel="00000000" w:rsidR="00000000" w:rsidRPr="00000000">
          <w:rPr>
            <w:rFonts w:ascii="Google Sans" w:cs="Google Sans" w:eastAsia="Google Sans" w:hAnsi="Google Sans"/>
            <w:color w:val="0000ee"/>
            <w:sz w:val="24"/>
            <w:szCs w:val="24"/>
            <w:u w:val="single"/>
            <w:rtl w:val="0"/>
          </w:rPr>
          <w:t xml:space="preserve">https://resources.curve.finance/troubleshooting/dropping-and-replacing-a-stuck-transaction/</w:t>
        </w:r>
      </w:hyperlink>
      <w:r w:rsidDel="00000000" w:rsidR="00000000" w:rsidRPr="00000000">
        <w:rPr>
          <w:rtl w:val="0"/>
        </w:rPr>
      </w:r>
    </w:p>
    <w:p w:rsidR="00000000" w:rsidDel="00000000" w:rsidP="00000000" w:rsidRDefault="00000000" w:rsidRPr="00000000" w14:paraId="000000E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Stablecoin Compliance Checklist (For Regular Businesses) - Bitwave, accessed April 6, 2026, </w:t>
      </w:r>
      <w:hyperlink r:id="rId40">
        <w:r w:rsidDel="00000000" w:rsidR="00000000" w:rsidRPr="00000000">
          <w:rPr>
            <w:rFonts w:ascii="Google Sans" w:cs="Google Sans" w:eastAsia="Google Sans" w:hAnsi="Google Sans"/>
            <w:color w:val="0000ee"/>
            <w:sz w:val="24"/>
            <w:szCs w:val="24"/>
            <w:u w:val="single"/>
            <w:rtl w:val="0"/>
          </w:rPr>
          <w:t xml:space="preserve">https://www.bitwave.io/blog/stablecoin-compliance-checklist</w:t>
        </w:r>
      </w:hyperlink>
      <w:r w:rsidDel="00000000" w:rsidR="00000000" w:rsidRPr="00000000">
        <w:rPr>
          <w:rtl w:val="0"/>
        </w:rPr>
      </w:r>
    </w:p>
    <w:p w:rsidR="00000000" w:rsidDel="00000000" w:rsidP="00000000" w:rsidRDefault="00000000" w:rsidRPr="00000000" w14:paraId="000000E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Crypto Whitelist - Coinspaid, accessed April 6, 2026, </w:t>
      </w:r>
      <w:hyperlink r:id="rId41">
        <w:r w:rsidDel="00000000" w:rsidR="00000000" w:rsidRPr="00000000">
          <w:rPr>
            <w:rFonts w:ascii="Google Sans" w:cs="Google Sans" w:eastAsia="Google Sans" w:hAnsi="Google Sans"/>
            <w:color w:val="0000ee"/>
            <w:sz w:val="24"/>
            <w:szCs w:val="24"/>
            <w:u w:val="single"/>
            <w:rtl w:val="0"/>
          </w:rPr>
          <w:t xml:space="preserve">https://coinspaid.com/glossary/crypto-whitelist/</w:t>
        </w:r>
      </w:hyperlink>
      <w:r w:rsidDel="00000000" w:rsidR="00000000" w:rsidRPr="00000000">
        <w:rPr>
          <w:rtl w:val="0"/>
        </w:rPr>
      </w:r>
    </w:p>
    <w:p w:rsidR="00000000" w:rsidDel="00000000" w:rsidP="00000000" w:rsidRDefault="00000000" w:rsidRPr="00000000" w14:paraId="000000E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Tokenized Asset Whitelisting: Wallet Rules - RWA.io, accessed April 6, 2026, </w:t>
      </w:r>
      <w:hyperlink r:id="rId42">
        <w:r w:rsidDel="00000000" w:rsidR="00000000" w:rsidRPr="00000000">
          <w:rPr>
            <w:rFonts w:ascii="Google Sans" w:cs="Google Sans" w:eastAsia="Google Sans" w:hAnsi="Google Sans"/>
            <w:color w:val="0000ee"/>
            <w:sz w:val="24"/>
            <w:szCs w:val="24"/>
            <w:u w:val="single"/>
            <w:rtl w:val="0"/>
          </w:rPr>
          <w:t xml:space="preserve">https://www.rwa.io/post/tokenized-asset-whitelisting-wallet-rules</w:t>
        </w:r>
      </w:hyperlink>
      <w:r w:rsidDel="00000000" w:rsidR="00000000" w:rsidRPr="00000000">
        <w:rPr>
          <w:rtl w:val="0"/>
        </w:rPr>
      </w:r>
    </w:p>
    <w:p w:rsidR="00000000" w:rsidDel="00000000" w:rsidP="00000000" w:rsidRDefault="00000000" w:rsidRPr="00000000" w14:paraId="000000E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Stablecoin Compliance Unlocked: A Practical Guide for 2026 - Dotfile, accessed April 6, 2026, </w:t>
      </w:r>
      <w:hyperlink r:id="rId43">
        <w:r w:rsidDel="00000000" w:rsidR="00000000" w:rsidRPr="00000000">
          <w:rPr>
            <w:rFonts w:ascii="Google Sans" w:cs="Google Sans" w:eastAsia="Google Sans" w:hAnsi="Google Sans"/>
            <w:color w:val="0000ee"/>
            <w:sz w:val="24"/>
            <w:szCs w:val="24"/>
            <w:u w:val="single"/>
            <w:rtl w:val="0"/>
          </w:rPr>
          <w:t xml:space="preserve">https://www.dotfile.com/resources/stablecoin-compliance-unlocked-a-practical-guide-for-2026</w:t>
        </w:r>
      </w:hyperlink>
      <w:r w:rsidDel="00000000" w:rsidR="00000000" w:rsidRPr="00000000">
        <w:rPr>
          <w:rtl w:val="0"/>
        </w:rPr>
      </w:r>
    </w:p>
    <w:p w:rsidR="00000000" w:rsidDel="00000000" w:rsidP="00000000" w:rsidRDefault="00000000" w:rsidRPr="00000000" w14:paraId="000000E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Notice on CIRO's Digital Asset Custody Framework | Canadian Investment Regulatory Organization, accessed April 6, 2026, </w:t>
      </w:r>
      <w:hyperlink r:id="rId44">
        <w:r w:rsidDel="00000000" w:rsidR="00000000" w:rsidRPr="00000000">
          <w:rPr>
            <w:rFonts w:ascii="Google Sans" w:cs="Google Sans" w:eastAsia="Google Sans" w:hAnsi="Google Sans"/>
            <w:color w:val="0000ee"/>
            <w:sz w:val="24"/>
            <w:szCs w:val="24"/>
            <w:u w:val="single"/>
            <w:rtl w:val="0"/>
          </w:rPr>
          <w:t xml:space="preserve">https://www.ciro.ca/newsroom/publications/notice-ciros-digital-asset-custody-framework</w:t>
        </w:r>
      </w:hyperlink>
      <w:r w:rsidDel="00000000" w:rsidR="00000000" w:rsidRPr="00000000">
        <w:rPr>
          <w:rtl w:val="0"/>
        </w:rPr>
      </w:r>
    </w:p>
    <w:p w:rsidR="00000000" w:rsidDel="00000000" w:rsidP="00000000" w:rsidRDefault="00000000" w:rsidRPr="00000000" w14:paraId="000000E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Transaction monitoring for AML - GBG, accessed April 6, 2026, </w:t>
      </w:r>
      <w:hyperlink r:id="rId45">
        <w:r w:rsidDel="00000000" w:rsidR="00000000" w:rsidRPr="00000000">
          <w:rPr>
            <w:rFonts w:ascii="Google Sans" w:cs="Google Sans" w:eastAsia="Google Sans" w:hAnsi="Google Sans"/>
            <w:color w:val="0000ee"/>
            <w:sz w:val="24"/>
            <w:szCs w:val="24"/>
            <w:u w:val="single"/>
            <w:rtl w:val="0"/>
          </w:rPr>
          <w:t xml:space="preserve">https://www.gbg.com/en/blog/transaction-monitoring-for-aml/</w:t>
        </w:r>
      </w:hyperlink>
      <w:r w:rsidDel="00000000" w:rsidR="00000000" w:rsidRPr="00000000">
        <w:rPr>
          <w:rtl w:val="0"/>
        </w:rPr>
      </w:r>
    </w:p>
    <w:p w:rsidR="00000000" w:rsidDel="00000000" w:rsidP="00000000" w:rsidRDefault="00000000" w:rsidRPr="00000000" w14:paraId="000000F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Stablecoin Issuance Infrastructure for Banks - Fireblocks, accessed April 6, 2026, </w:t>
      </w:r>
      <w:hyperlink r:id="rId46">
        <w:r w:rsidDel="00000000" w:rsidR="00000000" w:rsidRPr="00000000">
          <w:rPr>
            <w:rFonts w:ascii="Google Sans" w:cs="Google Sans" w:eastAsia="Google Sans" w:hAnsi="Google Sans"/>
            <w:color w:val="0000ee"/>
            <w:sz w:val="24"/>
            <w:szCs w:val="24"/>
            <w:u w:val="single"/>
            <w:rtl w:val="0"/>
          </w:rPr>
          <w:t xml:space="preserve">https://www.fireblocks.com/blog/stablecoin-issuance-infrastructure-for-banks</w:t>
        </w:r>
      </w:hyperlink>
      <w:r w:rsidDel="00000000" w:rsidR="00000000" w:rsidRPr="00000000">
        <w:rPr>
          <w:rtl w:val="0"/>
        </w:rPr>
      </w:r>
    </w:p>
    <w:p w:rsidR="00000000" w:rsidDel="00000000" w:rsidP="00000000" w:rsidRDefault="00000000" w:rsidRPr="00000000" w14:paraId="000000F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Conduct Bank Account Verification? Ultimate Guide [2026] - Signzy, accessed April 6, 2026, </w:t>
      </w:r>
      <w:hyperlink r:id="rId47">
        <w:r w:rsidDel="00000000" w:rsidR="00000000" w:rsidRPr="00000000">
          <w:rPr>
            <w:rFonts w:ascii="Google Sans" w:cs="Google Sans" w:eastAsia="Google Sans" w:hAnsi="Google Sans"/>
            <w:color w:val="0000ee"/>
            <w:sz w:val="24"/>
            <w:szCs w:val="24"/>
            <w:u w:val="single"/>
            <w:rtl w:val="0"/>
          </w:rPr>
          <w:t xml:space="preserve">https://www.signzy.com/blogs/how-to-conduct-bank-account-verification</w:t>
        </w:r>
      </w:hyperlink>
      <w:r w:rsidDel="00000000" w:rsidR="00000000" w:rsidRPr="00000000">
        <w:rPr>
          <w:rtl w:val="0"/>
        </w:rPr>
      </w:r>
    </w:p>
    <w:p w:rsidR="00000000" w:rsidDel="00000000" w:rsidP="00000000" w:rsidRDefault="00000000" w:rsidRPr="00000000" w14:paraId="000000F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Stablecoin Mint and Burn? - Modern Treasury, accessed April 6, 2026, </w:t>
      </w:r>
      <w:hyperlink r:id="rId48">
        <w:r w:rsidDel="00000000" w:rsidR="00000000" w:rsidRPr="00000000">
          <w:rPr>
            <w:rFonts w:ascii="Google Sans" w:cs="Google Sans" w:eastAsia="Google Sans" w:hAnsi="Google Sans"/>
            <w:color w:val="0000ee"/>
            <w:sz w:val="24"/>
            <w:szCs w:val="24"/>
            <w:u w:val="single"/>
            <w:rtl w:val="0"/>
          </w:rPr>
          <w:t xml:space="preserve">https://www.moderntreasury.com/learn/what-is-stablecoin-mint-and-burn</w:t>
        </w:r>
      </w:hyperlink>
      <w:r w:rsidDel="00000000" w:rsidR="00000000" w:rsidRPr="00000000">
        <w:rPr>
          <w:rtl w:val="0"/>
        </w:rPr>
      </w:r>
    </w:p>
    <w:p w:rsidR="00000000" w:rsidDel="00000000" w:rsidP="00000000" w:rsidRDefault="00000000" w:rsidRPr="00000000" w14:paraId="000000F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Mint and burn: How stablecoin creation and redemption works - FXC Intelligence, accessed April 6, 2026, </w:t>
      </w:r>
      <w:hyperlink r:id="rId49">
        <w:r w:rsidDel="00000000" w:rsidR="00000000" w:rsidRPr="00000000">
          <w:rPr>
            <w:rFonts w:ascii="Google Sans" w:cs="Google Sans" w:eastAsia="Google Sans" w:hAnsi="Google Sans"/>
            <w:color w:val="0000ee"/>
            <w:sz w:val="24"/>
            <w:szCs w:val="24"/>
            <w:u w:val="single"/>
            <w:rtl w:val="0"/>
          </w:rPr>
          <w:t xml:space="preserve">https://www.fxcintel.com/research/analysis/stablecoin-redemption-explainer</w:t>
        </w:r>
      </w:hyperlink>
      <w:r w:rsidDel="00000000" w:rsidR="00000000" w:rsidRPr="00000000">
        <w:rPr>
          <w:rtl w:val="0"/>
        </w:rPr>
      </w:r>
    </w:p>
    <w:p w:rsidR="00000000" w:rsidDel="00000000" w:rsidP="00000000" w:rsidRDefault="00000000" w:rsidRPr="00000000" w14:paraId="000000F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Stablecoin minting and burning: how tokens are created and destroyed - Elliptic, accessed April 6, 2026, </w:t>
      </w:r>
      <w:hyperlink r:id="rId50">
        <w:r w:rsidDel="00000000" w:rsidR="00000000" w:rsidRPr="00000000">
          <w:rPr>
            <w:rFonts w:ascii="Google Sans" w:cs="Google Sans" w:eastAsia="Google Sans" w:hAnsi="Google Sans"/>
            <w:color w:val="0000ee"/>
            <w:sz w:val="24"/>
            <w:szCs w:val="24"/>
            <w:u w:val="single"/>
            <w:rtl w:val="0"/>
          </w:rPr>
          <w:t xml:space="preserve">https://www.elliptic.co/blockchain-basics/stablecoin-minting-and-burning</w:t>
        </w:r>
      </w:hyperlink>
      <w:r w:rsidDel="00000000" w:rsidR="00000000" w:rsidRPr="00000000">
        <w:rPr>
          <w:rtl w:val="0"/>
        </w:rPr>
      </w:r>
    </w:p>
    <w:p w:rsidR="00000000" w:rsidDel="00000000" w:rsidP="00000000" w:rsidRDefault="00000000" w:rsidRPr="00000000" w14:paraId="000000F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Basel Framework - Bank for International Settlements, accessed April 6, 2026, </w:t>
      </w:r>
      <w:hyperlink r:id="rId51">
        <w:r w:rsidDel="00000000" w:rsidR="00000000" w:rsidRPr="00000000">
          <w:rPr>
            <w:rFonts w:ascii="Google Sans" w:cs="Google Sans" w:eastAsia="Google Sans" w:hAnsi="Google Sans"/>
            <w:color w:val="0000ee"/>
            <w:sz w:val="24"/>
            <w:szCs w:val="24"/>
            <w:u w:val="single"/>
            <w:rtl w:val="0"/>
          </w:rPr>
          <w:t xml:space="preserve">https://www.bis.org/basel_framework/chapter/SCO/60.htm?inforce=20250101&amp;published=20221216&amp;tldate=20250904</w:t>
        </w:r>
      </w:hyperlink>
      <w:r w:rsidDel="00000000" w:rsidR="00000000" w:rsidRPr="00000000">
        <w:rPr>
          <w:rtl w:val="0"/>
        </w:rPr>
      </w:r>
    </w:p>
    <w:p w:rsidR="00000000" w:rsidDel="00000000" w:rsidP="00000000" w:rsidRDefault="00000000" w:rsidRPr="00000000" w14:paraId="000000F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Notice of proposed rulemaking: Implementing the Guiding and Establishing National Innovation for U.S. Stablecoins Act for the Is - OCC.gov, accessed April 6, 2026, </w:t>
      </w:r>
      <w:hyperlink r:id="rId52">
        <w:r w:rsidDel="00000000" w:rsidR="00000000" w:rsidRPr="00000000">
          <w:rPr>
            <w:rFonts w:ascii="Google Sans" w:cs="Google Sans" w:eastAsia="Google Sans" w:hAnsi="Google Sans"/>
            <w:color w:val="0000ee"/>
            <w:sz w:val="24"/>
            <w:szCs w:val="24"/>
            <w:u w:val="single"/>
            <w:rtl w:val="0"/>
          </w:rPr>
          <w:t xml:space="preserve">https://occ.gov/news-issuances/news-releases/2026/nr-occ-2026-9a.pdf</w:t>
        </w:r>
      </w:hyperlink>
      <w:r w:rsidDel="00000000" w:rsidR="00000000" w:rsidRPr="00000000">
        <w:rPr>
          <w:rtl w:val="0"/>
        </w:rPr>
      </w:r>
    </w:p>
    <w:p w:rsidR="00000000" w:rsidDel="00000000" w:rsidP="00000000" w:rsidRDefault="00000000" w:rsidRPr="00000000" w14:paraId="000000F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Stablecoin Regulatory Compliance Checklist 2026: UAE Licensing, Reserves &amp; AML Requirements - Ape Law, accessed April 6, 2026, </w:t>
      </w:r>
      <w:hyperlink r:id="rId53">
        <w:r w:rsidDel="00000000" w:rsidR="00000000" w:rsidRPr="00000000">
          <w:rPr>
            <w:rFonts w:ascii="Google Sans" w:cs="Google Sans" w:eastAsia="Google Sans" w:hAnsi="Google Sans"/>
            <w:color w:val="0000ee"/>
            <w:sz w:val="24"/>
            <w:szCs w:val="24"/>
            <w:u w:val="single"/>
            <w:rtl w:val="0"/>
          </w:rPr>
          <w:t xml:space="preserve">https://ape.law/blog/stablecoin-regulatory-compliance-checklist</w:t>
        </w:r>
      </w:hyperlink>
      <w:r w:rsidDel="00000000" w:rsidR="00000000" w:rsidRPr="00000000">
        <w:rPr>
          <w:rtl w:val="0"/>
        </w:rPr>
      </w:r>
    </w:p>
    <w:p w:rsidR="00000000" w:rsidDel="00000000" w:rsidP="00000000" w:rsidRDefault="00000000" w:rsidRPr="00000000" w14:paraId="000000F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Managing Stablecoin Risks in Cross-Border Transactions - Phoenix Strategy Group, accessed April 6, 2026, </w:t>
      </w:r>
      <w:hyperlink r:id="rId54">
        <w:r w:rsidDel="00000000" w:rsidR="00000000" w:rsidRPr="00000000">
          <w:rPr>
            <w:rFonts w:ascii="Google Sans" w:cs="Google Sans" w:eastAsia="Google Sans" w:hAnsi="Google Sans"/>
            <w:color w:val="0000ee"/>
            <w:sz w:val="24"/>
            <w:szCs w:val="24"/>
            <w:u w:val="single"/>
            <w:rtl w:val="0"/>
          </w:rPr>
          <w:t xml:space="preserve">https://www.phoenixstrategy.group/blog/managing-stablecoin-risks-in-cross-border-transactions</w:t>
        </w:r>
      </w:hyperlink>
      <w:r w:rsidDel="00000000" w:rsidR="00000000" w:rsidRPr="00000000">
        <w:rPr>
          <w:rtl w:val="0"/>
        </w:rPr>
      </w:r>
    </w:p>
    <w:p w:rsidR="00000000" w:rsidDel="00000000" w:rsidP="00000000" w:rsidRDefault="00000000" w:rsidRPr="00000000" w14:paraId="000000F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Preparing for stablecoin oversight under the GENIUS Act - Guidehouse, accessed April 6, 2026, </w:t>
      </w:r>
      <w:hyperlink r:id="rId55">
        <w:r w:rsidDel="00000000" w:rsidR="00000000" w:rsidRPr="00000000">
          <w:rPr>
            <w:rFonts w:ascii="Google Sans" w:cs="Google Sans" w:eastAsia="Google Sans" w:hAnsi="Google Sans"/>
            <w:color w:val="0000ee"/>
            <w:sz w:val="24"/>
            <w:szCs w:val="24"/>
            <w:u w:val="single"/>
            <w:rtl w:val="0"/>
          </w:rPr>
          <w:t xml:space="preserve">https://guidehouse.com/insights/financial-services/2025/stablecoin-oversight-genius-act</w:t>
        </w:r>
      </w:hyperlink>
      <w:r w:rsidDel="00000000" w:rsidR="00000000" w:rsidRPr="00000000">
        <w:rPr>
          <w:rtl w:val="0"/>
        </w:rPr>
      </w:r>
    </w:p>
    <w:p w:rsidR="00000000" w:rsidDel="00000000" w:rsidP="00000000" w:rsidRDefault="00000000" w:rsidRPr="00000000" w14:paraId="000000F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Digital Financial Assets Law – Preparing for your Application - DFPI - CA.gov, accessed April 6, 2026, </w:t>
      </w:r>
      <w:hyperlink r:id="rId56">
        <w:r w:rsidDel="00000000" w:rsidR="00000000" w:rsidRPr="00000000">
          <w:rPr>
            <w:rFonts w:ascii="Google Sans" w:cs="Google Sans" w:eastAsia="Google Sans" w:hAnsi="Google Sans"/>
            <w:color w:val="0000ee"/>
            <w:sz w:val="24"/>
            <w:szCs w:val="24"/>
            <w:u w:val="single"/>
            <w:rtl w:val="0"/>
          </w:rPr>
          <w:t xml:space="preserve">https://dfpi.ca.gov/regulated-industries/digital-financial-assets/digital-financial-assets-law-frequently-asked-questions/digital-financial-assets-law-preparing-for-your-application/</w:t>
        </w:r>
      </w:hyperlink>
      <w:r w:rsidDel="00000000" w:rsidR="00000000" w:rsidRPr="00000000">
        <w:rPr>
          <w:rtl w:val="0"/>
        </w:rPr>
      </w:r>
    </w:p>
    <w:p w:rsidR="00000000" w:rsidDel="00000000" w:rsidP="00000000" w:rsidRDefault="00000000" w:rsidRPr="00000000" w14:paraId="000000F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AML and Transaction Monitoring Requirements for Crypto-Friendly Banks - DECTA, accessed April 6, 2026, </w:t>
      </w:r>
      <w:hyperlink r:id="rId57">
        <w:r w:rsidDel="00000000" w:rsidR="00000000" w:rsidRPr="00000000">
          <w:rPr>
            <w:rFonts w:ascii="Google Sans" w:cs="Google Sans" w:eastAsia="Google Sans" w:hAnsi="Google Sans"/>
            <w:color w:val="0000ee"/>
            <w:sz w:val="24"/>
            <w:szCs w:val="24"/>
            <w:u w:val="single"/>
            <w:rtl w:val="0"/>
          </w:rPr>
          <w:t xml:space="preserve">https://www.decta.com/company/media/aml-and-transaction-monitoring-requirements-for-crypto-friendly-banks</w:t>
        </w:r>
      </w:hyperlink>
      <w:r w:rsidDel="00000000" w:rsidR="00000000" w:rsidRPr="00000000">
        <w:rPr>
          <w:rtl w:val="0"/>
        </w:rPr>
      </w:r>
    </w:p>
    <w:p w:rsidR="00000000" w:rsidDel="00000000" w:rsidP="00000000" w:rsidRDefault="00000000" w:rsidRPr="00000000" w14:paraId="000000F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Customer Identification Program - FDIC, accessed April 6, 2026, </w:t>
      </w:r>
      <w:hyperlink r:id="rId58">
        <w:r w:rsidDel="00000000" w:rsidR="00000000" w:rsidRPr="00000000">
          <w:rPr>
            <w:rFonts w:ascii="Google Sans" w:cs="Google Sans" w:eastAsia="Google Sans" w:hAnsi="Google Sans"/>
            <w:color w:val="0000ee"/>
            <w:sz w:val="24"/>
            <w:szCs w:val="24"/>
            <w:u w:val="single"/>
            <w:rtl w:val="0"/>
          </w:rPr>
          <w:t xml:space="preserve">https://www.fdic.gov/news/financial-institution-letters/2021/fil21012b.pdf</w:t>
        </w:r>
      </w:hyperlink>
      <w:r w:rsidDel="00000000" w:rsidR="00000000" w:rsidRPr="00000000">
        <w:rPr>
          <w:rtl w:val="0"/>
        </w:rPr>
      </w:r>
    </w:p>
    <w:p w:rsidR="00000000" w:rsidDel="00000000" w:rsidP="00000000" w:rsidRDefault="00000000" w:rsidRPr="00000000" w14:paraId="000000F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BSA/AML Manual - Assessing Compliance with BSA Regulatory Requirements - Customer Identification Program, accessed April 6, 2026, </w:t>
      </w:r>
      <w:hyperlink r:id="rId59">
        <w:r w:rsidDel="00000000" w:rsidR="00000000" w:rsidRPr="00000000">
          <w:rPr>
            <w:rFonts w:ascii="Google Sans" w:cs="Google Sans" w:eastAsia="Google Sans" w:hAnsi="Google Sans"/>
            <w:color w:val="0000ee"/>
            <w:sz w:val="24"/>
            <w:szCs w:val="24"/>
            <w:u w:val="single"/>
            <w:rtl w:val="0"/>
          </w:rPr>
          <w:t xml:space="preserve">https://bsaaml.ffiec.gov/manual/AssessingComplianceWithBSARegulatoryRequirements/01</w:t>
        </w:r>
      </w:hyperlink>
      <w:r w:rsidDel="00000000" w:rsidR="00000000" w:rsidRPr="00000000">
        <w:rPr>
          <w:rtl w:val="0"/>
        </w:rPr>
      </w:r>
    </w:p>
    <w:p w:rsidR="00000000" w:rsidDel="00000000" w:rsidP="00000000" w:rsidRDefault="00000000" w:rsidRPr="00000000" w14:paraId="000000F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a crypto whitelist? - Coinbase, accessed April 6, 2026, </w:t>
      </w:r>
      <w:hyperlink r:id="rId60">
        <w:r w:rsidDel="00000000" w:rsidR="00000000" w:rsidRPr="00000000">
          <w:rPr>
            <w:rFonts w:ascii="Google Sans" w:cs="Google Sans" w:eastAsia="Google Sans" w:hAnsi="Google Sans"/>
            <w:color w:val="0000ee"/>
            <w:sz w:val="24"/>
            <w:szCs w:val="24"/>
            <w:u w:val="single"/>
            <w:rtl w:val="0"/>
          </w:rPr>
          <w:t xml:space="preserve">https://www.coinbase.com/learn/tips-and-tutorials/what-is-a-crypto-whitelist</w:t>
        </w:r>
      </w:hyperlink>
      <w:r w:rsidDel="00000000" w:rsidR="00000000" w:rsidRPr="00000000">
        <w:rPr>
          <w:rtl w:val="0"/>
        </w:rPr>
      </w:r>
    </w:p>
    <w:p w:rsidR="00000000" w:rsidDel="00000000" w:rsidP="00000000" w:rsidRDefault="00000000" w:rsidRPr="00000000" w14:paraId="000000F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a crypto whitelist? - OSL, accessed April 6, 2026, </w:t>
      </w:r>
      <w:hyperlink r:id="rId61">
        <w:r w:rsidDel="00000000" w:rsidR="00000000" w:rsidRPr="00000000">
          <w:rPr>
            <w:rFonts w:ascii="Google Sans" w:cs="Google Sans" w:eastAsia="Google Sans" w:hAnsi="Google Sans"/>
            <w:color w:val="0000ee"/>
            <w:sz w:val="24"/>
            <w:szCs w:val="24"/>
            <w:u w:val="single"/>
            <w:rtl w:val="0"/>
          </w:rPr>
          <w:t xml:space="preserve">https://www.osl.com/hk-en/academy/article/what-is-a-crypto-whitelist</w:t>
        </w:r>
      </w:hyperlink>
      <w:r w:rsidDel="00000000" w:rsidR="00000000" w:rsidRPr="00000000">
        <w:rPr>
          <w:rtl w:val="0"/>
        </w:rPr>
      </w:r>
    </w:p>
    <w:p w:rsidR="00000000" w:rsidDel="00000000" w:rsidP="00000000" w:rsidRDefault="00000000" w:rsidRPr="00000000" w14:paraId="0000010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crypto wallet security checklist 2026 - Social Recovery Wallet Setup Guide, accessed April 6, 2026, </w:t>
      </w:r>
      <w:hyperlink r:id="rId62">
        <w:r w:rsidDel="00000000" w:rsidR="00000000" w:rsidRPr="00000000">
          <w:rPr>
            <w:rFonts w:ascii="Google Sans" w:cs="Google Sans" w:eastAsia="Google Sans" w:hAnsi="Google Sans"/>
            <w:color w:val="0000ee"/>
            <w:sz w:val="24"/>
            <w:szCs w:val="24"/>
            <w:u w:val="single"/>
            <w:rtl w:val="0"/>
          </w:rPr>
          <w:t xml:space="preserve">https://www.saraykoy.bel.tr/insights/en/crypto-wallet-security-checklist-2026</w:t>
        </w:r>
      </w:hyperlink>
      <w:r w:rsidDel="00000000" w:rsidR="00000000" w:rsidRPr="00000000">
        <w:rPr>
          <w:rtl w:val="0"/>
        </w:rPr>
      </w:r>
    </w:p>
    <w:p w:rsidR="00000000" w:rsidDel="00000000" w:rsidP="00000000" w:rsidRDefault="00000000" w:rsidRPr="00000000" w14:paraId="0000010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BSA/AML Manual - Assessing Compliance with BSA Regulatory Requirements - Suspicious Activity Reporting, accessed April 6, 2026, </w:t>
      </w:r>
      <w:hyperlink r:id="rId63">
        <w:r w:rsidDel="00000000" w:rsidR="00000000" w:rsidRPr="00000000">
          <w:rPr>
            <w:rFonts w:ascii="Google Sans" w:cs="Google Sans" w:eastAsia="Google Sans" w:hAnsi="Google Sans"/>
            <w:color w:val="0000ee"/>
            <w:sz w:val="24"/>
            <w:szCs w:val="24"/>
            <w:u w:val="single"/>
            <w:rtl w:val="0"/>
          </w:rPr>
          <w:t xml:space="preserve">https://bsaaml.ffiec.gov/manual/AssessingComplianceWithBSARegulatoryRequirements/04_ep</w:t>
        </w:r>
      </w:hyperlink>
      <w:r w:rsidDel="00000000" w:rsidR="00000000" w:rsidRPr="00000000">
        <w:rPr>
          <w:rtl w:val="0"/>
        </w:rPr>
      </w:r>
    </w:p>
    <w:p w:rsidR="00000000" w:rsidDel="00000000" w:rsidP="00000000" w:rsidRDefault="00000000" w:rsidRPr="00000000" w14:paraId="0000010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Payment reconciliation 101: How it works and best practices for businesses - Stripe, accessed April 6, 2026, </w:t>
      </w:r>
      <w:hyperlink r:id="rId64">
        <w:r w:rsidDel="00000000" w:rsidR="00000000" w:rsidRPr="00000000">
          <w:rPr>
            <w:rFonts w:ascii="Google Sans" w:cs="Google Sans" w:eastAsia="Google Sans" w:hAnsi="Google Sans"/>
            <w:color w:val="0000ee"/>
            <w:sz w:val="24"/>
            <w:szCs w:val="24"/>
            <w:u w:val="single"/>
            <w:rtl w:val="0"/>
          </w:rPr>
          <w:t xml:space="preserve">https://stripe.com/resources/more/payment-reconciliation-101</w:t>
        </w:r>
      </w:hyperlink>
      <w:r w:rsidDel="00000000" w:rsidR="00000000" w:rsidRPr="00000000">
        <w:rPr>
          <w:rtl w:val="0"/>
        </w:rPr>
      </w:r>
    </w:p>
    <w:p w:rsidR="00000000" w:rsidDel="00000000" w:rsidP="00000000" w:rsidRDefault="00000000" w:rsidRPr="00000000" w14:paraId="0000010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Choosing a reconciliation tool: The essential checklist - Kani Payments, accessed April 6, 2026, </w:t>
      </w:r>
      <w:hyperlink r:id="rId65">
        <w:r w:rsidDel="00000000" w:rsidR="00000000" w:rsidRPr="00000000">
          <w:rPr>
            <w:rFonts w:ascii="Google Sans" w:cs="Google Sans" w:eastAsia="Google Sans" w:hAnsi="Google Sans"/>
            <w:color w:val="0000ee"/>
            <w:sz w:val="24"/>
            <w:szCs w:val="24"/>
            <w:u w:val="single"/>
            <w:rtl w:val="0"/>
          </w:rPr>
          <w:t xml:space="preserve">https://kanipayments.com/blog/automated-reconciliation-tool-essential-checklist/</w:t>
        </w:r>
      </w:hyperlink>
      <w:r w:rsidDel="00000000" w:rsidR="00000000" w:rsidRPr="00000000">
        <w:rPr>
          <w:rtl w:val="0"/>
        </w:rPr>
      </w:r>
    </w:p>
    <w:p w:rsidR="00000000" w:rsidDel="00000000" w:rsidP="00000000" w:rsidRDefault="00000000" w:rsidRPr="00000000" w14:paraId="0000010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Reconciliation Explained: Financial Accuracy via Lightspark Grid, accessed April 6, 2026, </w:t>
      </w:r>
      <w:hyperlink r:id="rId66">
        <w:r w:rsidDel="00000000" w:rsidR="00000000" w:rsidRPr="00000000">
          <w:rPr>
            <w:rFonts w:ascii="Google Sans" w:cs="Google Sans" w:eastAsia="Google Sans" w:hAnsi="Google Sans"/>
            <w:color w:val="0000ee"/>
            <w:sz w:val="24"/>
            <w:szCs w:val="24"/>
            <w:u w:val="single"/>
            <w:rtl w:val="0"/>
          </w:rPr>
          <w:t xml:space="preserve">https://www.lightspark.com/glossary/reconciliation</w:t>
        </w:r>
      </w:hyperlink>
      <w:r w:rsidDel="00000000" w:rsidR="00000000" w:rsidRPr="00000000">
        <w:rPr>
          <w:rtl w:val="0"/>
        </w:rPr>
      </w:r>
    </w:p>
    <w:p w:rsidR="00000000" w:rsidDel="00000000" w:rsidP="00000000" w:rsidRDefault="00000000" w:rsidRPr="00000000" w14:paraId="0000010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Reconcile Crypto Transactions with Traditional Bank Accounts - Bitwave, accessed April 6, 2026, </w:t>
      </w:r>
      <w:hyperlink r:id="rId67">
        <w:r w:rsidDel="00000000" w:rsidR="00000000" w:rsidRPr="00000000">
          <w:rPr>
            <w:rFonts w:ascii="Google Sans" w:cs="Google Sans" w:eastAsia="Google Sans" w:hAnsi="Google Sans"/>
            <w:color w:val="0000ee"/>
            <w:sz w:val="24"/>
            <w:szCs w:val="24"/>
            <w:u w:val="single"/>
            <w:rtl w:val="0"/>
          </w:rPr>
          <w:t xml:space="preserve">https://www.bitwave.io/blog/reconcile-crypto-transactions-with-traditional-bank-accounts</w:t>
        </w:r>
      </w:hyperlink>
      <w:r w:rsidDel="00000000" w:rsidR="00000000" w:rsidRPr="00000000">
        <w:rPr>
          <w:rtl w:val="0"/>
        </w:rPr>
      </w:r>
    </w:p>
    <w:p w:rsidR="00000000" w:rsidDel="00000000" w:rsidP="00000000" w:rsidRDefault="00000000" w:rsidRPr="00000000" w14:paraId="0000010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importance of wallet reconciliation in crypto accounting - CoinTracker, accessed April 6, 2026, </w:t>
      </w:r>
      <w:hyperlink r:id="rId68">
        <w:r w:rsidDel="00000000" w:rsidR="00000000" w:rsidRPr="00000000">
          <w:rPr>
            <w:rFonts w:ascii="Google Sans" w:cs="Google Sans" w:eastAsia="Google Sans" w:hAnsi="Google Sans"/>
            <w:color w:val="0000ee"/>
            <w:sz w:val="24"/>
            <w:szCs w:val="24"/>
            <w:u w:val="single"/>
            <w:rtl w:val="0"/>
          </w:rPr>
          <w:t xml:space="preserve">https://www.cointracker.io/blog/wallet-reconciliation</w:t>
        </w:r>
      </w:hyperlink>
      <w:r w:rsidDel="00000000" w:rsidR="00000000" w:rsidRPr="00000000">
        <w:rPr>
          <w:rtl w:val="0"/>
        </w:rPr>
      </w:r>
    </w:p>
    <w:p w:rsidR="00000000" w:rsidDel="00000000" w:rsidP="00000000" w:rsidRDefault="00000000" w:rsidRPr="00000000" w14:paraId="0000010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Automating Bank Reconciliations: Controller's Guide to Modernizing the Process | Numeric, accessed April 6, 2026, </w:t>
      </w:r>
      <w:hyperlink r:id="rId69">
        <w:r w:rsidDel="00000000" w:rsidR="00000000" w:rsidRPr="00000000">
          <w:rPr>
            <w:rFonts w:ascii="Google Sans" w:cs="Google Sans" w:eastAsia="Google Sans" w:hAnsi="Google Sans"/>
            <w:color w:val="0000ee"/>
            <w:sz w:val="24"/>
            <w:szCs w:val="24"/>
            <w:u w:val="single"/>
            <w:rtl w:val="0"/>
          </w:rPr>
          <w:t xml:space="preserve">https://www.numeric.io/blog/bank-reconciliation-automation</w:t>
        </w:r>
      </w:hyperlink>
      <w:r w:rsidDel="00000000" w:rsidR="00000000" w:rsidRPr="00000000">
        <w:rPr>
          <w:rtl w:val="0"/>
        </w:rPr>
      </w:r>
    </w:p>
    <w:p w:rsidR="00000000" w:rsidDel="00000000" w:rsidP="00000000" w:rsidRDefault="00000000" w:rsidRPr="00000000" w14:paraId="0000010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Crypto reconciliation controls: Ensure accurate general ledger entries - Cryptio Blog, accessed April 6, 2026, </w:t>
      </w:r>
      <w:hyperlink r:id="rId70">
        <w:r w:rsidDel="00000000" w:rsidR="00000000" w:rsidRPr="00000000">
          <w:rPr>
            <w:rFonts w:ascii="Google Sans" w:cs="Google Sans" w:eastAsia="Google Sans" w:hAnsi="Google Sans"/>
            <w:color w:val="0000ee"/>
            <w:sz w:val="24"/>
            <w:szCs w:val="24"/>
            <w:u w:val="single"/>
            <w:rtl w:val="0"/>
          </w:rPr>
          <w:t xml:space="preserve">https://blog.cryptio.co/crypto-reconciliation-controls-ensure-accurate-general-ledger-entries</w:t>
        </w:r>
      </w:hyperlink>
      <w:r w:rsidDel="00000000" w:rsidR="00000000" w:rsidRPr="00000000">
        <w:rPr>
          <w:rtl w:val="0"/>
        </w:rPr>
      </w:r>
    </w:p>
    <w:p w:rsidR="00000000" w:rsidDel="00000000" w:rsidP="00000000" w:rsidRDefault="00000000" w:rsidRPr="00000000" w14:paraId="0000010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Crypto Transaction Reconciliation Best Practices &amp; Tools - Cryptoworth, accessed April 6, 2026, </w:t>
      </w:r>
      <w:hyperlink r:id="rId71">
        <w:r w:rsidDel="00000000" w:rsidR="00000000" w:rsidRPr="00000000">
          <w:rPr>
            <w:rFonts w:ascii="Google Sans" w:cs="Google Sans" w:eastAsia="Google Sans" w:hAnsi="Google Sans"/>
            <w:color w:val="0000ee"/>
            <w:sz w:val="24"/>
            <w:szCs w:val="24"/>
            <w:u w:val="single"/>
            <w:rtl w:val="0"/>
          </w:rPr>
          <w:t xml:space="preserve">https://www.cryptoworth.com/blog/crypto-transaction-reconciliation-tools</w:t>
        </w:r>
      </w:hyperlink>
      <w:r w:rsidDel="00000000" w:rsidR="00000000" w:rsidRPr="00000000">
        <w:rPr>
          <w:rtl w:val="0"/>
        </w:rPr>
      </w:r>
    </w:p>
    <w:p w:rsidR="00000000" w:rsidDel="00000000" w:rsidP="00000000" w:rsidRDefault="00000000" w:rsidRPr="00000000" w14:paraId="0000010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a Bank Reconciliation? A Definition With Examples - NetSuite, accessed April 6, 2026, </w:t>
      </w:r>
      <w:hyperlink r:id="rId72">
        <w:r w:rsidDel="00000000" w:rsidR="00000000" w:rsidRPr="00000000">
          <w:rPr>
            <w:rFonts w:ascii="Google Sans" w:cs="Google Sans" w:eastAsia="Google Sans" w:hAnsi="Google Sans"/>
            <w:color w:val="0000ee"/>
            <w:sz w:val="24"/>
            <w:szCs w:val="24"/>
            <w:u w:val="single"/>
            <w:rtl w:val="0"/>
          </w:rPr>
          <w:t xml:space="preserve">https://www.netsuite.com/portal/resource/articles/accounting/bank-reconciliation.shtml</w:t>
        </w:r>
      </w:hyperlink>
      <w:r w:rsidDel="00000000" w:rsidR="00000000" w:rsidRPr="00000000">
        <w:rPr>
          <w:rtl w:val="0"/>
        </w:rPr>
      </w:r>
    </w:p>
    <w:p w:rsidR="00000000" w:rsidDel="00000000" w:rsidP="00000000" w:rsidRDefault="00000000" w:rsidRPr="00000000" w14:paraId="0000010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Reconciliation: Process and Best Practices - Artsyl, accessed April 6, 2026, </w:t>
      </w:r>
      <w:hyperlink r:id="rId73">
        <w:r w:rsidDel="00000000" w:rsidR="00000000" w:rsidRPr="00000000">
          <w:rPr>
            <w:rFonts w:ascii="Google Sans" w:cs="Google Sans" w:eastAsia="Google Sans" w:hAnsi="Google Sans"/>
            <w:color w:val="0000ee"/>
            <w:sz w:val="24"/>
            <w:szCs w:val="24"/>
            <w:u w:val="single"/>
            <w:rtl w:val="0"/>
          </w:rPr>
          <w:t xml:space="preserve">https://www.artsyltech.com/reconciliation</w:t>
        </w:r>
      </w:hyperlink>
      <w:r w:rsidDel="00000000" w:rsidR="00000000" w:rsidRPr="00000000">
        <w:rPr>
          <w:rtl w:val="0"/>
        </w:rPr>
      </w:r>
    </w:p>
    <w:p w:rsidR="00000000" w:rsidDel="00000000" w:rsidP="00000000" w:rsidRDefault="00000000" w:rsidRPr="00000000" w14:paraId="0000010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Reconciliation Discrepancies: Causes, Identification &amp; Resolution, accessed April 6, 2026, </w:t>
      </w:r>
      <w:hyperlink r:id="rId74">
        <w:r w:rsidDel="00000000" w:rsidR="00000000" w:rsidRPr="00000000">
          <w:rPr>
            <w:rFonts w:ascii="Google Sans" w:cs="Google Sans" w:eastAsia="Google Sans" w:hAnsi="Google Sans"/>
            <w:color w:val="0000ee"/>
            <w:sz w:val="24"/>
            <w:szCs w:val="24"/>
            <w:u w:val="single"/>
            <w:rtl w:val="0"/>
          </w:rPr>
          <w:t xml:space="preserve">https://www.osfin.ai/blog/reconciliation-discrepancies</w:t>
        </w:r>
      </w:hyperlink>
      <w:r w:rsidDel="00000000" w:rsidR="00000000" w:rsidRPr="00000000">
        <w:rPr>
          <w:rtl w:val="0"/>
        </w:rPr>
      </w:r>
    </w:p>
    <w:p w:rsidR="00000000" w:rsidDel="00000000" w:rsidP="00000000" w:rsidRDefault="00000000" w:rsidRPr="00000000" w14:paraId="0000010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Process bank charges and interest (Back Office) - Lone Wolf Community, accessed April 6, 2026, </w:t>
      </w:r>
      <w:hyperlink r:id="rId75">
        <w:r w:rsidDel="00000000" w:rsidR="00000000" w:rsidRPr="00000000">
          <w:rPr>
            <w:rFonts w:ascii="Google Sans" w:cs="Google Sans" w:eastAsia="Google Sans" w:hAnsi="Google Sans"/>
            <w:color w:val="0000ee"/>
            <w:sz w:val="24"/>
            <w:szCs w:val="24"/>
            <w:u w:val="single"/>
            <w:rtl w:val="0"/>
          </w:rPr>
          <w:t xml:space="preserve">https://lonewolf.my.site.com/s/article/LWBC-Process-Bank-Charges-and-Interest-Back-Office</w:t>
        </w:r>
      </w:hyperlink>
      <w:r w:rsidDel="00000000" w:rsidR="00000000" w:rsidRPr="00000000">
        <w:rPr>
          <w:rtl w:val="0"/>
        </w:rPr>
      </w:r>
    </w:p>
    <w:p w:rsidR="00000000" w:rsidDel="00000000" w:rsidP="00000000" w:rsidRDefault="00000000" w:rsidRPr="00000000" w14:paraId="0000010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Complete Guide To Crypto Cost Basis Reconstruction &amp; Historical Accounting, accessed April 6, 2026, </w:t>
      </w:r>
      <w:hyperlink r:id="rId76">
        <w:r w:rsidDel="00000000" w:rsidR="00000000" w:rsidRPr="00000000">
          <w:rPr>
            <w:rFonts w:ascii="Google Sans" w:cs="Google Sans" w:eastAsia="Google Sans" w:hAnsi="Google Sans"/>
            <w:color w:val="0000ee"/>
            <w:sz w:val="24"/>
            <w:szCs w:val="24"/>
            <w:u w:val="single"/>
            <w:rtl w:val="0"/>
          </w:rPr>
          <w:t xml:space="preserve">https://camusocpa.com/crypto-cost-basis-reconstruction-guide/</w:t>
        </w:r>
      </w:hyperlink>
      <w:r w:rsidDel="00000000" w:rsidR="00000000" w:rsidRPr="00000000">
        <w:rPr>
          <w:rtl w:val="0"/>
        </w:rPr>
      </w:r>
    </w:p>
    <w:p w:rsidR="00000000" w:rsidDel="00000000" w:rsidP="00000000" w:rsidRDefault="00000000" w:rsidRPr="00000000" w14:paraId="0000010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Smart-Contract-Driven Future: Corporate Strategy in the Era of Zero-Touch Accounting | Insights | ABeam Consulting Malaysia, accessed April 6, 2026, </w:t>
      </w:r>
      <w:hyperlink r:id="rId77">
        <w:r w:rsidDel="00000000" w:rsidR="00000000" w:rsidRPr="00000000">
          <w:rPr>
            <w:rFonts w:ascii="Google Sans" w:cs="Google Sans" w:eastAsia="Google Sans" w:hAnsi="Google Sans"/>
            <w:color w:val="0000ee"/>
            <w:sz w:val="24"/>
            <w:szCs w:val="24"/>
            <w:u w:val="single"/>
            <w:rtl w:val="0"/>
          </w:rPr>
          <w:t xml:space="preserve">https://www.abeam.com/my/en/insights/175/</w:t>
        </w:r>
      </w:hyperlink>
      <w:r w:rsidDel="00000000" w:rsidR="00000000" w:rsidRPr="00000000">
        <w:rPr>
          <w:rtl w:val="0"/>
        </w:rPr>
      </w:r>
    </w:p>
    <w:p w:rsidR="00000000" w:rsidDel="00000000" w:rsidP="00000000" w:rsidRDefault="00000000" w:rsidRPr="00000000" w14:paraId="0000011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Contract Management System for Banks: Compliance &amp; Integration Guide - Sirion, accessed April 6, 2026, </w:t>
      </w:r>
      <w:hyperlink r:id="rId78">
        <w:r w:rsidDel="00000000" w:rsidR="00000000" w:rsidRPr="00000000">
          <w:rPr>
            <w:rFonts w:ascii="Google Sans" w:cs="Google Sans" w:eastAsia="Google Sans" w:hAnsi="Google Sans"/>
            <w:color w:val="0000ee"/>
            <w:sz w:val="24"/>
            <w:szCs w:val="24"/>
            <w:u w:val="single"/>
            <w:rtl w:val="0"/>
          </w:rPr>
          <w:t xml:space="preserve">https://www.sirion.ai/library/contract-insights/best-contract-management-system-for-banks-compliance/</w:t>
        </w:r>
      </w:hyperlink>
      <w:r w:rsidDel="00000000" w:rsidR="00000000" w:rsidRPr="00000000">
        <w:rPr>
          <w:rtl w:val="0"/>
        </w:rPr>
      </w:r>
    </w:p>
    <w:p w:rsidR="00000000" w:rsidDel="00000000" w:rsidP="00000000" w:rsidRDefault="00000000" w:rsidRPr="00000000" w14:paraId="0000011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 Smart Contracts: Safe Automation with Oversight - Blockchain Council, accessed April 6, 2026, </w:t>
      </w:r>
      <w:hyperlink r:id="rId79">
        <w:r w:rsidDel="00000000" w:rsidR="00000000" w:rsidRPr="00000000">
          <w:rPr>
            <w:rFonts w:ascii="Google Sans" w:cs="Google Sans" w:eastAsia="Google Sans" w:hAnsi="Google Sans"/>
            <w:color w:val="0000ee"/>
            <w:sz w:val="24"/>
            <w:szCs w:val="24"/>
            <w:u w:val="single"/>
            <w:rtl w:val="0"/>
          </w:rPr>
          <w:t xml:space="preserve">https://www.blockchain-council.org/blockchain/ai-smart-contracts-automating-decisions-safely-explainability-human-oversight/</w:t>
        </w:r>
      </w:hyperlink>
      <w:r w:rsidDel="00000000" w:rsidR="00000000" w:rsidRPr="00000000">
        <w:rPr>
          <w:rtl w:val="0"/>
        </w:rPr>
      </w:r>
    </w:p>
    <w:p w:rsidR="00000000" w:rsidDel="00000000" w:rsidP="00000000" w:rsidRDefault="00000000" w:rsidRPr="00000000" w14:paraId="0000011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Smart contracts in Fintech: Revolutionizing financial transactions - World Journal of Advanced Research and Reviews, accessed April 6, 2026, </w:t>
      </w:r>
      <w:hyperlink r:id="rId80">
        <w:r w:rsidDel="00000000" w:rsidR="00000000" w:rsidRPr="00000000">
          <w:rPr>
            <w:rFonts w:ascii="Google Sans" w:cs="Google Sans" w:eastAsia="Google Sans" w:hAnsi="Google Sans"/>
            <w:color w:val="0000ee"/>
            <w:sz w:val="24"/>
            <w:szCs w:val="24"/>
            <w:u w:val="single"/>
            <w:rtl w:val="0"/>
          </w:rPr>
          <w:t xml:space="preserve">https://wjarr.com/sites/default/files/fulltext_pdf/WJARR-2025-1514.pdf</w:t>
        </w:r>
      </w:hyperlink>
      <w:r w:rsidDel="00000000" w:rsidR="00000000" w:rsidRPr="00000000">
        <w:rPr>
          <w:rtl w:val="0"/>
        </w:rPr>
      </w:r>
    </w:p>
    <w:p w:rsidR="00000000" w:rsidDel="00000000" w:rsidP="00000000" w:rsidRDefault="00000000" w:rsidRPr="00000000" w14:paraId="0000011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Crypto Legal Compliance Checklist Template - Lark, accessed April 6, 2026, </w:t>
      </w:r>
      <w:hyperlink r:id="rId81">
        <w:r w:rsidDel="00000000" w:rsidR="00000000" w:rsidRPr="00000000">
          <w:rPr>
            <w:rFonts w:ascii="Google Sans" w:cs="Google Sans" w:eastAsia="Google Sans" w:hAnsi="Google Sans"/>
            <w:color w:val="0000ee"/>
            <w:sz w:val="24"/>
            <w:szCs w:val="24"/>
            <w:u w:val="single"/>
            <w:rtl w:val="0"/>
          </w:rPr>
          <w:t xml:space="preserve">https://www.larksuite.com/en_us/templates/crypto-legal-compliance-checklist</w:t>
        </w:r>
      </w:hyperlink>
      <w:r w:rsidDel="00000000" w:rsidR="00000000" w:rsidRPr="00000000">
        <w:rPr>
          <w:rtl w:val="0"/>
        </w:rPr>
      </w:r>
    </w:p>
    <w:p w:rsidR="00000000" w:rsidDel="00000000" w:rsidP="00000000" w:rsidRDefault="00000000" w:rsidRPr="00000000" w14:paraId="0000011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Smart Contract for Banking Operations | PDF | Integer (Computer Science) - Scribd, accessed April 6, 2026, </w:t>
      </w:r>
      <w:hyperlink r:id="rId82">
        <w:r w:rsidDel="00000000" w:rsidR="00000000" w:rsidRPr="00000000">
          <w:rPr>
            <w:rFonts w:ascii="Google Sans" w:cs="Google Sans" w:eastAsia="Google Sans" w:hAnsi="Google Sans"/>
            <w:color w:val="0000ee"/>
            <w:sz w:val="24"/>
            <w:szCs w:val="24"/>
            <w:u w:val="single"/>
            <w:rtl w:val="0"/>
          </w:rPr>
          <w:t xml:space="preserve">https://www.scribd.com/document/951593687/Exp-No3-Docx</w:t>
        </w:r>
      </w:hyperlink>
      <w:r w:rsidDel="00000000" w:rsidR="00000000" w:rsidRPr="00000000">
        <w:rPr>
          <w:rtl w:val="0"/>
        </w:rPr>
      </w:r>
    </w:p>
    <w:p w:rsidR="00000000" w:rsidDel="00000000" w:rsidP="00000000" w:rsidRDefault="00000000" w:rsidRPr="00000000" w14:paraId="0000011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Oracle's new Digital Assets Data Nexus Empowers Banks to Unlock Opportunities in Tokenization, Settlement, and Digital Assets | blockchain - Oracle Blogs, accessed April 6, 2026, </w:t>
      </w:r>
      <w:hyperlink r:id="rId83">
        <w:r w:rsidDel="00000000" w:rsidR="00000000" w:rsidRPr="00000000">
          <w:rPr>
            <w:rFonts w:ascii="Google Sans" w:cs="Google Sans" w:eastAsia="Google Sans" w:hAnsi="Google Sans"/>
            <w:color w:val="0000ee"/>
            <w:sz w:val="24"/>
            <w:szCs w:val="24"/>
            <w:u w:val="single"/>
            <w:rtl w:val="0"/>
          </w:rPr>
          <w:t xml:space="preserve">https://blogs.oracle.com/blockchain/oracles-new-digital-assets-data-nexus-empowers-banks-to-unlock-opportunities-in-tokenization-settlement-and-digital-assets</w:t>
        </w:r>
      </w:hyperlink>
      <w:r w:rsidDel="00000000" w:rsidR="00000000" w:rsidRPr="00000000">
        <w:rPr>
          <w:rtl w:val="0"/>
        </w:rPr>
      </w:r>
    </w:p>
    <w:p w:rsidR="00000000" w:rsidDel="00000000" w:rsidP="00000000" w:rsidRDefault="00000000" w:rsidRPr="00000000" w14:paraId="0000011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Putting the Web3 in banking: Solving the oracle problem for enterprise blockchain | Google Cloud Blog, accessed April 6, 2026, </w:t>
      </w:r>
      <w:hyperlink r:id="rId84">
        <w:r w:rsidDel="00000000" w:rsidR="00000000" w:rsidRPr="00000000">
          <w:rPr>
            <w:rFonts w:ascii="Google Sans" w:cs="Google Sans" w:eastAsia="Google Sans" w:hAnsi="Google Sans"/>
            <w:color w:val="0000ee"/>
            <w:sz w:val="24"/>
            <w:szCs w:val="24"/>
            <w:u w:val="single"/>
            <w:rtl w:val="0"/>
          </w:rPr>
          <w:t xml:space="preserve">https://cloud.google.com/blog/topics/financial-services/blockchain-oracles-dz-bank-solution-defi-enterprise-applications</w:t>
        </w:r>
      </w:hyperlink>
      <w:r w:rsidDel="00000000" w:rsidR="00000000" w:rsidRPr="00000000">
        <w:rPr>
          <w:rtl w:val="0"/>
        </w:rPr>
      </w:r>
    </w:p>
    <w:p w:rsidR="00000000" w:rsidDel="00000000" w:rsidP="00000000" w:rsidRDefault="00000000" w:rsidRPr="00000000" w14:paraId="0000011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Stablecoin Launch Checklist: Key Steps for 2025 Success - Blockchain App Factory, accessed April 6, 2026, </w:t>
      </w:r>
      <w:hyperlink r:id="rId85">
        <w:r w:rsidDel="00000000" w:rsidR="00000000" w:rsidRPr="00000000">
          <w:rPr>
            <w:rFonts w:ascii="Google Sans" w:cs="Google Sans" w:eastAsia="Google Sans" w:hAnsi="Google Sans"/>
            <w:color w:val="0000ee"/>
            <w:sz w:val="24"/>
            <w:szCs w:val="24"/>
            <w:u w:val="single"/>
            <w:rtl w:val="0"/>
          </w:rPr>
          <w:t xml:space="preserve">https://www.blockchainappfactory.com/blog/launch-checklist-everything-you-need-before-issuing-your-own-stablecoin/</w:t>
        </w:r>
      </w:hyperlink>
      <w:r w:rsidDel="00000000" w:rsidR="00000000" w:rsidRPr="00000000">
        <w:rPr>
          <w:rtl w:val="0"/>
        </w:rPr>
      </w:r>
    </w:p>
    <w:p w:rsidR="00000000" w:rsidDel="00000000" w:rsidP="00000000" w:rsidRDefault="00000000" w:rsidRPr="00000000" w14:paraId="0000011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Your Banking Career: How Blockchain and Smart Contracts Are Reshaping Finance - Online Manipal, accessed April 6, 2026, </w:t>
      </w:r>
      <w:hyperlink r:id="rId86">
        <w:r w:rsidDel="00000000" w:rsidR="00000000" w:rsidRPr="00000000">
          <w:rPr>
            <w:rFonts w:ascii="Google Sans" w:cs="Google Sans" w:eastAsia="Google Sans" w:hAnsi="Google Sans"/>
            <w:color w:val="0000ee"/>
            <w:sz w:val="24"/>
            <w:szCs w:val="24"/>
            <w:u w:val="single"/>
            <w:rtl w:val="0"/>
          </w:rPr>
          <w:t xml:space="preserve">https://www.onlinemanipal.com/blogs/build-your-career-in-banking</w:t>
        </w:r>
      </w:hyperlink>
      <w:r w:rsidDel="00000000" w:rsidR="00000000" w:rsidRPr="00000000">
        <w:rPr>
          <w:rtl w:val="0"/>
        </w:rPr>
      </w:r>
    </w:p>
    <w:p w:rsidR="00000000" w:rsidDel="00000000" w:rsidP="00000000" w:rsidRDefault="00000000" w:rsidRPr="00000000" w14:paraId="0000011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Smart Contract Oracle Manipulation: The $8.8M Data Poisoning | by InstaTunnel | Medium, accessed April 6, 2026, </w:t>
      </w:r>
      <w:hyperlink r:id="rId87">
        <w:r w:rsidDel="00000000" w:rsidR="00000000" w:rsidRPr="00000000">
          <w:rPr>
            <w:rFonts w:ascii="Google Sans" w:cs="Google Sans" w:eastAsia="Google Sans" w:hAnsi="Google Sans"/>
            <w:color w:val="0000ee"/>
            <w:sz w:val="24"/>
            <w:szCs w:val="24"/>
            <w:u w:val="single"/>
            <w:rtl w:val="0"/>
          </w:rPr>
          <w:t xml:space="preserve">https://medium.com/@instatunnel/smart-contract-oracle-manipulation-the-8-8m-data-poisoning-ff0712c43ab8</w:t>
        </w:r>
      </w:hyperlink>
      <w:r w:rsidDel="00000000" w:rsidR="00000000" w:rsidRPr="00000000">
        <w:rPr>
          <w:rtl w:val="0"/>
        </w:rPr>
      </w:r>
    </w:p>
    <w:p w:rsidR="00000000" w:rsidDel="00000000" w:rsidP="00000000" w:rsidRDefault="00000000" w:rsidRPr="00000000" w14:paraId="0000011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NetSuite Applications Suite - Bank Feeds SuiteApp FAQ - Oracle Help Center, accessed April 6, 2026, </w:t>
      </w:r>
      <w:hyperlink r:id="rId88">
        <w:r w:rsidDel="00000000" w:rsidR="00000000" w:rsidRPr="00000000">
          <w:rPr>
            <w:rFonts w:ascii="Google Sans" w:cs="Google Sans" w:eastAsia="Google Sans" w:hAnsi="Google Sans"/>
            <w:color w:val="0000ee"/>
            <w:sz w:val="24"/>
            <w:szCs w:val="24"/>
            <w:u w:val="single"/>
            <w:rtl w:val="0"/>
          </w:rPr>
          <w:t xml:space="preserve">https://docs.oracle.com/en/cloud/saas/netsuite/ns-online-help/section_159010939426.html</w:t>
        </w:r>
      </w:hyperlink>
      <w:r w:rsidDel="00000000" w:rsidR="00000000" w:rsidRPr="00000000">
        <w:rPr>
          <w:rtl w:val="0"/>
        </w:rPr>
      </w:r>
    </w:p>
    <w:p w:rsidR="00000000" w:rsidDel="00000000" w:rsidP="00000000" w:rsidRDefault="00000000" w:rsidRPr="00000000" w14:paraId="0000011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Institutional Digital Asset Custody Guide for Asset Managers | Cobo, accessed April 6, 2026, </w:t>
      </w:r>
      <w:hyperlink r:id="rId89">
        <w:r w:rsidDel="00000000" w:rsidR="00000000" w:rsidRPr="00000000">
          <w:rPr>
            <w:rFonts w:ascii="Google Sans" w:cs="Google Sans" w:eastAsia="Google Sans" w:hAnsi="Google Sans"/>
            <w:color w:val="0000ee"/>
            <w:sz w:val="24"/>
            <w:szCs w:val="24"/>
            <w:u w:val="single"/>
            <w:rtl w:val="0"/>
          </w:rPr>
          <w:t xml:space="preserve">https://www.cobo.com/post/institutional-digital-asset-custody</w:t>
        </w:r>
      </w:hyperlink>
      <w:r w:rsidDel="00000000" w:rsidR="00000000" w:rsidRPr="00000000">
        <w:rPr>
          <w:rtl w:val="0"/>
        </w:rPr>
      </w:r>
    </w:p>
    <w:p w:rsidR="00000000" w:rsidDel="00000000" w:rsidP="00000000" w:rsidRDefault="00000000" w:rsidRPr="00000000" w14:paraId="0000011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Digital Asset Custody and Transaction Processing Leading Practices Using Fireblocks' MPC solution, accessed April 6, 2026, </w:t>
      </w:r>
      <w:hyperlink r:id="rId90">
        <w:r w:rsidDel="00000000" w:rsidR="00000000" w:rsidRPr="00000000">
          <w:rPr>
            <w:rFonts w:ascii="Google Sans" w:cs="Google Sans" w:eastAsia="Google Sans" w:hAnsi="Google Sans"/>
            <w:color w:val="0000ee"/>
            <w:sz w:val="24"/>
            <w:szCs w:val="24"/>
            <w:u w:val="single"/>
            <w:rtl w:val="0"/>
          </w:rPr>
          <w:t xml:space="preserve">https://www.fireblocks.com/report/digital-asset-custody-and-transaction-processing-leading-practices-using-fireblocks-mpc-solution</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bitwave.io/blog/stablecoin-compliance-checklist" TargetMode="External"/><Relationship Id="rId84" Type="http://schemas.openxmlformats.org/officeDocument/2006/relationships/hyperlink" Target="https://cloud.google.com/blog/topics/financial-services/blockchain-oracles-dz-bank-solution-defi-enterprise-applications" TargetMode="External"/><Relationship Id="rId83" Type="http://schemas.openxmlformats.org/officeDocument/2006/relationships/hyperlink" Target="https://blogs.oracle.com/blockchain/oracles-new-digital-assets-data-nexus-empowers-banks-to-unlock-opportunities-in-tokenization-settlement-and-digital-assets" TargetMode="External"/><Relationship Id="rId42" Type="http://schemas.openxmlformats.org/officeDocument/2006/relationships/hyperlink" Target="https://www.rwa.io/post/tokenized-asset-whitelisting-wallet-rules" TargetMode="External"/><Relationship Id="rId86" Type="http://schemas.openxmlformats.org/officeDocument/2006/relationships/hyperlink" Target="https://www.onlinemanipal.com/blogs/build-your-career-in-banking" TargetMode="External"/><Relationship Id="rId41" Type="http://schemas.openxmlformats.org/officeDocument/2006/relationships/hyperlink" Target="https://coinspaid.com/glossary/crypto-whitelist/" TargetMode="External"/><Relationship Id="rId85" Type="http://schemas.openxmlformats.org/officeDocument/2006/relationships/hyperlink" Target="https://www.blockchainappfactory.com/blog/launch-checklist-everything-you-need-before-issuing-your-own-stablecoin/" TargetMode="External"/><Relationship Id="rId44" Type="http://schemas.openxmlformats.org/officeDocument/2006/relationships/hyperlink" Target="https://www.ciro.ca/newsroom/publications/notice-ciros-digital-asset-custody-framework" TargetMode="External"/><Relationship Id="rId88" Type="http://schemas.openxmlformats.org/officeDocument/2006/relationships/hyperlink" Target="https://docs.oracle.com/en/cloud/saas/netsuite/ns-online-help/section_159010939426.html" TargetMode="External"/><Relationship Id="rId43" Type="http://schemas.openxmlformats.org/officeDocument/2006/relationships/hyperlink" Target="https://www.dotfile.com/resources/stablecoin-compliance-unlocked-a-practical-guide-for-2026" TargetMode="External"/><Relationship Id="rId87" Type="http://schemas.openxmlformats.org/officeDocument/2006/relationships/hyperlink" Target="https://medium.com/@instatunnel/smart-contract-oracle-manipulation-the-8-8m-data-poisoning-ff0712c43ab8" TargetMode="External"/><Relationship Id="rId46" Type="http://schemas.openxmlformats.org/officeDocument/2006/relationships/hyperlink" Target="https://www.fireblocks.com/blog/stablecoin-issuance-infrastructure-for-banks" TargetMode="External"/><Relationship Id="rId45" Type="http://schemas.openxmlformats.org/officeDocument/2006/relationships/hyperlink" Target="https://www.gbg.com/en/blog/transaction-monitoring-for-aml/" TargetMode="External"/><Relationship Id="rId89" Type="http://schemas.openxmlformats.org/officeDocument/2006/relationships/hyperlink" Target="https://www.cobo.com/post/institutional-digital-asset-custody" TargetMode="External"/><Relationship Id="rId80" Type="http://schemas.openxmlformats.org/officeDocument/2006/relationships/hyperlink" Target="https://wjarr.com/sites/default/files/fulltext_pdf/WJARR-2025-1514.pdf" TargetMode="External"/><Relationship Id="rId82" Type="http://schemas.openxmlformats.org/officeDocument/2006/relationships/hyperlink" Target="https://www.scribd.com/document/951593687/Exp-No3-Docx" TargetMode="External"/><Relationship Id="rId81" Type="http://schemas.openxmlformats.org/officeDocument/2006/relationships/hyperlink" Target="https://www.larksuite.com/en_us/templates/crypto-legal-compliance-checklis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mofo.com/resources/insights/250724-crypto-asset-safekeeping-what-s-involved" TargetMode="External"/><Relationship Id="rId48" Type="http://schemas.openxmlformats.org/officeDocument/2006/relationships/hyperlink" Target="https://www.moderntreasury.com/learn/what-is-stablecoin-mint-and-burn" TargetMode="External"/><Relationship Id="rId47" Type="http://schemas.openxmlformats.org/officeDocument/2006/relationships/hyperlink" Target="https://www.signzy.com/blogs/how-to-conduct-bank-account-verification" TargetMode="External"/><Relationship Id="rId49" Type="http://schemas.openxmlformats.org/officeDocument/2006/relationships/hyperlink" Target="https://www.fxcintel.com/research/analysis/stablecoin-redemption-explainer"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yperlink" Target="https://medium.com/@gwrx2005/managing-digital-asset-operations-on-blockchain-networks-a-comprehensive-overview-a093a7666033" TargetMode="External"/><Relationship Id="rId73" Type="http://schemas.openxmlformats.org/officeDocument/2006/relationships/hyperlink" Target="https://www.artsyltech.com/reconciliation" TargetMode="External"/><Relationship Id="rId72" Type="http://schemas.openxmlformats.org/officeDocument/2006/relationships/hyperlink" Target="https://www.netsuite.com/portal/resource/articles/accounting/bank-reconciliation.shtml" TargetMode="External"/><Relationship Id="rId31" Type="http://schemas.openxmlformats.org/officeDocument/2006/relationships/hyperlink" Target="https://www.hollaex.com/blog/minting-and-burning-coin-on-a-crypto-exchange-and-what-it-means" TargetMode="External"/><Relationship Id="rId75" Type="http://schemas.openxmlformats.org/officeDocument/2006/relationships/hyperlink" Target="https://lonewolf.my.site.com/s/article/LWBC-Process-Bank-Charges-and-Interest-Back-Office" TargetMode="External"/><Relationship Id="rId30" Type="http://schemas.openxmlformats.org/officeDocument/2006/relationships/hyperlink" Target="https://www.fidelitydigitalassets.com/trading-custody" TargetMode="External"/><Relationship Id="rId74" Type="http://schemas.openxmlformats.org/officeDocument/2006/relationships/hyperlink" Target="https://www.osfin.ai/blog/reconciliation-discrepancies" TargetMode="External"/><Relationship Id="rId33" Type="http://schemas.openxmlformats.org/officeDocument/2006/relationships/hyperlink" Target="https://www.bitwave.io/blog/multi-chain-reconciliation-platforms" TargetMode="External"/><Relationship Id="rId77" Type="http://schemas.openxmlformats.org/officeDocument/2006/relationships/hyperlink" Target="https://www.abeam.com/my/en/insights/175/" TargetMode="External"/><Relationship Id="rId32" Type="http://schemas.openxmlformats.org/officeDocument/2006/relationships/hyperlink" Target="https://www.anchorage.com/platform/custody" TargetMode="External"/><Relationship Id="rId76" Type="http://schemas.openxmlformats.org/officeDocument/2006/relationships/hyperlink" Target="https://camusocpa.com/crypto-cost-basis-reconstruction-guide/" TargetMode="External"/><Relationship Id="rId35" Type="http://schemas.openxmlformats.org/officeDocument/2006/relationships/hyperlink" Target="https://support.metamask.io/manage-crypto/transactions/why-did-my-transaction-fail-with-an-out-of-gas-error-how-can-i-fix-it/" TargetMode="External"/><Relationship Id="rId79" Type="http://schemas.openxmlformats.org/officeDocument/2006/relationships/hyperlink" Target="https://www.blockchain-council.org/blockchain/ai-smart-contracts-automating-decisions-safely-explainability-human-oversight/" TargetMode="External"/><Relationship Id="rId34" Type="http://schemas.openxmlformats.org/officeDocument/2006/relationships/hyperlink" Target="https://chain.link/article/burn-and-mint-transfer" TargetMode="External"/><Relationship Id="rId78" Type="http://schemas.openxmlformats.org/officeDocument/2006/relationships/hyperlink" Target="https://www.sirion.ai/library/contract-insights/best-contract-management-system-for-banks-compliance/" TargetMode="External"/><Relationship Id="rId71" Type="http://schemas.openxmlformats.org/officeDocument/2006/relationships/hyperlink" Target="https://www.cryptoworth.com/blog/crypto-transaction-reconciliation-tools" TargetMode="External"/><Relationship Id="rId70" Type="http://schemas.openxmlformats.org/officeDocument/2006/relationships/hyperlink" Target="https://blog.cryptio.co/crypto-reconciliation-controls-ensure-accurate-general-ledger-entries" TargetMode="External"/><Relationship Id="rId37" Type="http://schemas.openxmlformats.org/officeDocument/2006/relationships/hyperlink" Target="https://www.reddit.com/r/CryptoCurrency/comments/1683711/what_to_do_when_you_have_a_stuck_transaction_on/" TargetMode="External"/><Relationship Id="rId36" Type="http://schemas.openxmlformats.org/officeDocument/2006/relationships/hyperlink" Target="https://www.tradingview.com/news/cointelegraph:9107c8b8c094b:0-how-to-modify-or-cancel-a-pending-ethereum-transaction/" TargetMode="External"/><Relationship Id="rId39" Type="http://schemas.openxmlformats.org/officeDocument/2006/relationships/hyperlink" Target="https://resources.curve.finance/troubleshooting/dropping-and-replacing-a-stuck-transaction/" TargetMode="External"/><Relationship Id="rId38" Type="http://schemas.openxmlformats.org/officeDocument/2006/relationships/hyperlink" Target="https://support.bitbox.swiss/en_US/bitboxapp-issues/ethereum-transaction-stuck-pending" TargetMode="External"/><Relationship Id="rId62" Type="http://schemas.openxmlformats.org/officeDocument/2006/relationships/hyperlink" Target="https://www.saraykoy.bel.tr/insights/en/crypto-wallet-security-checklist-2026" TargetMode="External"/><Relationship Id="rId61" Type="http://schemas.openxmlformats.org/officeDocument/2006/relationships/hyperlink" Target="https://www.osl.com/hk-en/academy/article/what-is-a-crypto-whitelist" TargetMode="External"/><Relationship Id="rId20" Type="http://schemas.openxmlformats.org/officeDocument/2006/relationships/hyperlink" Target="https://www.osfin.ai/blog/crypto-reconciliation" TargetMode="External"/><Relationship Id="rId64" Type="http://schemas.openxmlformats.org/officeDocument/2006/relationships/hyperlink" Target="https://stripe.com/resources/more/payment-reconciliation-101" TargetMode="External"/><Relationship Id="rId63" Type="http://schemas.openxmlformats.org/officeDocument/2006/relationships/hyperlink" Target="https://bsaaml.ffiec.gov/manual/AssessingComplianceWithBSARegulatoryRequirements/04_ep" TargetMode="External"/><Relationship Id="rId22" Type="http://schemas.openxmlformats.org/officeDocument/2006/relationships/hyperlink" Target="https://www.fdic.gov/interagency-statement-crypto-asset-safekeeping.pdf" TargetMode="External"/><Relationship Id="rId66" Type="http://schemas.openxmlformats.org/officeDocument/2006/relationships/hyperlink" Target="https://www.lightspark.com/glossary/reconciliation" TargetMode="External"/><Relationship Id="rId21" Type="http://schemas.openxmlformats.org/officeDocument/2006/relationships/hyperlink" Target="https://www.cobo.com/post/crypto-custody-solutions-complete-guide" TargetMode="External"/><Relationship Id="rId65" Type="http://schemas.openxmlformats.org/officeDocument/2006/relationships/hyperlink" Target="https://kanipayments.com/blog/automated-reconciliation-tool-essential-checklist/" TargetMode="External"/><Relationship Id="rId24" Type="http://schemas.openxmlformats.org/officeDocument/2006/relationships/hyperlink" Target="https://stripe.com/resources/more/crypto-custody" TargetMode="External"/><Relationship Id="rId68" Type="http://schemas.openxmlformats.org/officeDocument/2006/relationships/hyperlink" Target="https://www.cointracker.io/blog/wallet-reconciliation" TargetMode="External"/><Relationship Id="rId23" Type="http://schemas.openxmlformats.org/officeDocument/2006/relationships/hyperlink" Target="https://www.pwc.ch/en/insights/digital/crypto-custody-a-private-key-to-success.html" TargetMode="External"/><Relationship Id="rId67" Type="http://schemas.openxmlformats.org/officeDocument/2006/relationships/hyperlink" Target="https://www.bitwave.io/blog/reconcile-crypto-transactions-with-traditional-bank-accounts" TargetMode="External"/><Relationship Id="rId60" Type="http://schemas.openxmlformats.org/officeDocument/2006/relationships/hyperlink" Target="https://www.coinbase.com/learn/tips-and-tutorials/what-is-a-crypto-whitelist" TargetMode="External"/><Relationship Id="rId26" Type="http://schemas.openxmlformats.org/officeDocument/2006/relationships/hyperlink" Target="https://www.enterprisetimes.co.uk/2020/07/09/cva-publishes-key-ceremony-guidelines-for-digital-asset-protection/" TargetMode="External"/><Relationship Id="rId25" Type="http://schemas.openxmlformats.org/officeDocument/2006/relationships/hyperlink" Target="https://d1c2gz5q23tkk0.cloudfront.net/assets/uploads/2956620/asset/CVA_Trusted_Key_Ceremony_Guidelines.pdf?1594131972" TargetMode="External"/><Relationship Id="rId69" Type="http://schemas.openxmlformats.org/officeDocument/2006/relationships/hyperlink" Target="https://www.numeric.io/blog/bank-reconciliation-automation" TargetMode="External"/><Relationship Id="rId28" Type="http://schemas.openxmlformats.org/officeDocument/2006/relationships/hyperlink" Target="https://www.tdcommons.org/cgi/viewcontent.cgi?article=10152&amp;context=dpubs_series" TargetMode="External"/><Relationship Id="rId27" Type="http://schemas.openxmlformats.org/officeDocument/2006/relationships/hyperlink" Target="https://manuals.cobo.com/en/portal/security-checklist" TargetMode="External"/><Relationship Id="rId29" Type="http://schemas.openxmlformats.org/officeDocument/2006/relationships/hyperlink" Target="https://www.chainup.com/blog/institutional-private-key-governance-non-custodial-framework-2026/" TargetMode="External"/><Relationship Id="rId51" Type="http://schemas.openxmlformats.org/officeDocument/2006/relationships/hyperlink" Target="https://www.bis.org/basel_framework/chapter/SCO/60.htm?inforce=20250101&amp;published=20221216&amp;tldate=20250904" TargetMode="External"/><Relationship Id="rId50" Type="http://schemas.openxmlformats.org/officeDocument/2006/relationships/hyperlink" Target="https://www.elliptic.co/blockchain-basics/stablecoin-minting-and-burning" TargetMode="External"/><Relationship Id="rId53" Type="http://schemas.openxmlformats.org/officeDocument/2006/relationships/hyperlink" Target="https://ape.law/blog/stablecoin-regulatory-compliance-checklist" TargetMode="External"/><Relationship Id="rId52" Type="http://schemas.openxmlformats.org/officeDocument/2006/relationships/hyperlink" Target="https://occ.gov/news-issuances/news-releases/2026/nr-occ-2026-9a.pdf" TargetMode="External"/><Relationship Id="rId11" Type="http://schemas.openxmlformats.org/officeDocument/2006/relationships/hyperlink" Target="https://www.fireblocks.com/digital-asset-custody" TargetMode="External"/><Relationship Id="rId55" Type="http://schemas.openxmlformats.org/officeDocument/2006/relationships/hyperlink" Target="https://guidehouse.com/insights/financial-services/2025/stablecoin-oversight-genius-act" TargetMode="External"/><Relationship Id="rId10" Type="http://schemas.openxmlformats.org/officeDocument/2006/relationships/hyperlink" Target="https://www.gtlaw.com/en/insights/2025/7/federal-banking-regulators-issue-guidance-on-risk-management-for-crypto-asset-safekeeping-activities" TargetMode="External"/><Relationship Id="rId54" Type="http://schemas.openxmlformats.org/officeDocument/2006/relationships/hyperlink" Target="https://www.phoenixstrategy.group/blog/managing-stablecoin-risks-in-cross-border-transactions" TargetMode="External"/><Relationship Id="rId13" Type="http://schemas.openxmlformats.org/officeDocument/2006/relationships/hyperlink" Target="https://stripe.com/resources/more/crypto-asset-management" TargetMode="External"/><Relationship Id="rId57" Type="http://schemas.openxmlformats.org/officeDocument/2006/relationships/hyperlink" Target="https://www.decta.com/company/media/aml-and-transaction-monitoring-requirements-for-crypto-friendly-banks" TargetMode="External"/><Relationship Id="rId12" Type="http://schemas.openxmlformats.org/officeDocument/2006/relationships/hyperlink" Target="https://www.debevoise.com/~/media/files/insights/publications/2018/12/20181217_custody_of_digital_assets.pdf" TargetMode="External"/><Relationship Id="rId56" Type="http://schemas.openxmlformats.org/officeDocument/2006/relationships/hyperlink" Target="https://dfpi.ca.gov/regulated-industries/digital-financial-assets/digital-financial-assets-law-frequently-asked-questions/digital-financial-assets-law-preparing-for-your-application/" TargetMode="External"/><Relationship Id="rId90" Type="http://schemas.openxmlformats.org/officeDocument/2006/relationships/hyperlink" Target="https://www.fireblocks.com/report/digital-asset-custody-and-transaction-processing-leading-practices-using-fireblocks-mpc-solution" TargetMode="External"/><Relationship Id="rId15" Type="http://schemas.openxmlformats.org/officeDocument/2006/relationships/hyperlink" Target="https://www.cobo.com/post/the-definitive-guide-to-evaluating-crypto-custody-firms-for-institutional-investors" TargetMode="External"/><Relationship Id="rId59" Type="http://schemas.openxmlformats.org/officeDocument/2006/relationships/hyperlink" Target="https://bsaaml.ffiec.gov/manual/AssessingComplianceWithBSARegulatoryRequirements/01" TargetMode="External"/><Relationship Id="rId14" Type="http://schemas.openxmlformats.org/officeDocument/2006/relationships/hyperlink" Target="https://www.fireblocks.com/blog/digital-asset-custody-compliance-banks" TargetMode="External"/><Relationship Id="rId58" Type="http://schemas.openxmlformats.org/officeDocument/2006/relationships/hyperlink" Target="https://www.fdic.gov/news/financial-institution-letters/2021/fil21012b.pdf" TargetMode="External"/><Relationship Id="rId17" Type="http://schemas.openxmlformats.org/officeDocument/2006/relationships/hyperlink" Target="https://www.sydle.com/blog/back-office-in-banks-67eaca0d437a7e5a46e2f5a0" TargetMode="External"/><Relationship Id="rId16" Type="http://schemas.openxmlformats.org/officeDocument/2006/relationships/hyperlink" Target="https://www.liminalcustody.com/blog/exploring-digital-asset-custody-for-exchanges-a-complete-guide/" TargetMode="External"/><Relationship Id="rId19" Type="http://schemas.openxmlformats.org/officeDocument/2006/relationships/hyperlink" Target="https://aurum.solutions/resources/what-is-payment-reconciliation-and-how-does-it-work" TargetMode="External"/><Relationship Id="rId18" Type="http://schemas.openxmlformats.org/officeDocument/2006/relationships/hyperlink" Target="https://stripe.com/en-br/resources/more/crypto-custody"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