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Microsoft YaHei"/>
          <w:b/>
          <w:color w:val="163761"/>
          <w:sz w:val="46"/>
        </w:rPr>
        <w:t>VergeX 精简实盘包</w:t>
      </w:r>
    </w:p>
    <w:p>
      <w:pPr>
        <w:spacing w:after="200"/>
        <w:jc w:val="center"/>
      </w:pPr>
      <w:r>
        <w:rPr>
          <w:rFonts w:ascii="Arial" w:hAnsi="Arial" w:eastAsia="Microsoft YaHei"/>
          <w:color w:val="5A5A5A"/>
          <w:sz w:val="26"/>
        </w:rPr>
        <w:t>A1 / A2 / S3 三策略落地版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2F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用途：只保留当前最适合小资金实盘观察的 3 套策略。默认先跑 A1；AI500 趋势更清晰时加 A2；资金流主导更明显时切到 S3。</w:t>
            </w:r>
          </w:p>
        </w:tc>
      </w:tr>
    </w:tbl>
    <w:p>
      <w:pPr>
        <w:pStyle w:val="Heading1"/>
      </w:pPr>
      <w:r>
        <w:t>一页结论</w:t>
      </w:r>
    </w:p>
    <w:p>
      <w:pPr>
        <w:pStyle w:val="ListBullet"/>
        <w:spacing w:after="20"/>
      </w:pPr>
      <w:r>
        <w:t>默认主跑：A1｜AI500 双周期趋势回撤 PRO</w:t>
      </w:r>
    </w:p>
    <w:p>
      <w:pPr>
        <w:pStyle w:val="ListBullet"/>
        <w:spacing w:after="20"/>
      </w:pPr>
      <w:r>
        <w:t>趋势环境很顺：A2｜AI500 社区 Trend 改良版</w:t>
      </w:r>
    </w:p>
    <w:p>
      <w:pPr>
        <w:pStyle w:val="ListBullet"/>
        <w:spacing w:after="20"/>
      </w:pPr>
      <w:r>
        <w:t>资金流领导性更强：S3｜Netflow Top 资金流顺势</w:t>
      </w:r>
    </w:p>
    <w:p>
      <w:pPr>
        <w:pStyle w:val="ListBullet"/>
        <w:spacing w:after="20"/>
      </w:pPr>
      <w:r>
        <w:t>非 Custom 不支持正向白名单；Excluded Coins 永远是黑名单</w:t>
      </w:r>
    </w:p>
    <w:p>
      <w:pPr>
        <w:pStyle w:val="ListBullet"/>
        <w:spacing w:after="20"/>
      </w:pPr>
      <w:r>
        <w:t>Max Account Leverage 建议直接用整数 2x</w:t>
      </w:r>
    </w:p>
    <w:p>
      <w:pPr>
        <w:pStyle w:val="ListBullet"/>
        <w:spacing w:after="20"/>
      </w:pPr>
      <w:r>
        <w:t>Run Test 可参考，但优先看真实运行轮次</w:t>
      </w:r>
    </w:p>
    <w:p>
      <w:pPr>
        <w:pStyle w:val="Heading1"/>
      </w:pPr>
      <w:r>
        <w:t>策略排序与角色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1967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1967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稳定度</w:t>
            </w:r>
          </w:p>
        </w:tc>
        <w:tc>
          <w:tcPr>
            <w:tcW w:type="dxa" w:w="1967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967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一句话</w:t>
            </w:r>
          </w:p>
        </w:tc>
      </w:tr>
      <w:tr>
        <w:tc>
          <w:tcPr>
            <w:tcW w:type="dxa" w:w="1967"/>
            <w:vAlign w:val="center"/>
            <w:shd w:fill="F5F8FB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A1</w:t>
            </w:r>
          </w:p>
        </w:tc>
        <w:tc>
          <w:tcPr>
            <w:tcW w:type="dxa" w:w="196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AI500 双周期趋势回撤 PRO</w:t>
            </w:r>
          </w:p>
        </w:tc>
        <w:tc>
          <w:tcPr>
            <w:tcW w:type="dxa" w:w="1967"/>
            <w:vAlign w:val="center"/>
            <w:shd w:fill="F7FBF4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86</w:t>
            </w:r>
          </w:p>
        </w:tc>
        <w:tc>
          <w:tcPr>
            <w:tcW w:type="dxa" w:w="196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主跑</w:t>
            </w:r>
          </w:p>
        </w:tc>
        <w:tc>
          <w:tcPr>
            <w:tcW w:type="dxa" w:w="196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最稳，允许大量 WAIT</w:t>
            </w:r>
          </w:p>
        </w:tc>
      </w:tr>
      <w:tr>
        <w:tc>
          <w:tcPr>
            <w:tcW w:type="dxa" w:w="1967"/>
            <w:vAlign w:val="center"/>
            <w:shd w:fill="F5F8FB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S3</w:t>
            </w:r>
          </w:p>
        </w:tc>
        <w:tc>
          <w:tcPr>
            <w:tcW w:type="dxa" w:w="196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Netflow Top 资金流顺势</w:t>
            </w:r>
          </w:p>
        </w:tc>
        <w:tc>
          <w:tcPr>
            <w:tcW w:type="dxa" w:w="1967"/>
            <w:vAlign w:val="center"/>
            <w:shd w:fill="F7FBF4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79</w:t>
            </w:r>
          </w:p>
        </w:tc>
        <w:tc>
          <w:tcPr>
            <w:tcW w:type="dxa" w:w="196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补充</w:t>
            </w:r>
          </w:p>
        </w:tc>
        <w:tc>
          <w:tcPr>
            <w:tcW w:type="dxa" w:w="196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更看重 price + OI + netflow</w:t>
            </w:r>
          </w:p>
        </w:tc>
      </w:tr>
      <w:tr>
        <w:tc>
          <w:tcPr>
            <w:tcW w:type="dxa" w:w="1967"/>
            <w:vAlign w:val="center"/>
            <w:shd w:fill="F5F8FB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A2</w:t>
            </w:r>
          </w:p>
        </w:tc>
        <w:tc>
          <w:tcPr>
            <w:tcW w:type="dxa" w:w="196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AI500 社区 Trend 改良版</w:t>
            </w:r>
          </w:p>
        </w:tc>
        <w:tc>
          <w:tcPr>
            <w:tcW w:type="dxa" w:w="1967"/>
            <w:vAlign w:val="center"/>
            <w:shd w:fill="F7FBF4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75</w:t>
            </w:r>
          </w:p>
        </w:tc>
        <w:tc>
          <w:tcPr>
            <w:tcW w:type="dxa" w:w="196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补充</w:t>
            </w:r>
          </w:p>
        </w:tc>
        <w:tc>
          <w:tcPr>
            <w:tcW w:type="dxa" w:w="196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更贴近 trend，但更吃趋势</w:t>
            </w:r>
          </w:p>
        </w:tc>
      </w:tr>
    </w:tbl>
    <w:p>
      <w:pPr>
        <w:pStyle w:val="Heading1"/>
      </w:pPr>
      <w:r>
        <w:t>启动顺序</w:t>
      </w:r>
    </w:p>
    <w:p>
      <w:pPr>
        <w:pStyle w:val="ListNumber"/>
        <w:spacing w:after="20"/>
      </w:pPr>
      <w:r>
        <w:t>先只开 A1，观察 8–16 个决策周期。</w:t>
      </w:r>
    </w:p>
    <w:p>
      <w:pPr>
        <w:pStyle w:val="ListNumber"/>
        <w:spacing w:after="20"/>
      </w:pPr>
      <w:r>
        <w:t>A1 大量 WAIT 且 AI500 趋势扩散明显，再加 A2。</w:t>
      </w:r>
    </w:p>
    <w:p>
      <w:pPr>
        <w:pStyle w:val="ListNumber"/>
        <w:spacing w:after="20"/>
      </w:pPr>
      <w:r>
        <w:t>AI500 池噪音大，但资金流和 OI 共振明显，再切 S3。</w:t>
      </w:r>
    </w:p>
    <w:p>
      <w:pPr>
        <w:pStyle w:val="ListNumber"/>
        <w:spacing w:after="20"/>
      </w:pPr>
      <w:r>
        <w:t>账户距离 hard stop 不足 4 个百分点时，暂停扩策略。</w:t>
      </w:r>
    </w:p>
    <w:p>
      <w:pPr>
        <w:pStyle w:val="Heading1"/>
      </w:pPr>
      <w:r>
        <w:t>A1｜AI500 双周期趋势回撤 PRO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Source Type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AI500 Data Provider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Excluded Coins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默认留空；只加入持续假突破、异常点差、异常插针的币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Decision Interval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60 min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Margin Mode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Isolated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Leverage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BTC/ETH 4x；Alt 2x；Account 2x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Hard Stop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12%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K-Line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15m / 1h / 4h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Indicators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RSI14 / MACD / BB / EMA20 / EMA50 / ATR / OI / Netflow</w:t>
            </w:r>
          </w:p>
        </w:tc>
      </w:tr>
    </w:tbl>
    <w:p>
      <w:pPr>
        <w:pStyle w:val="ListBullet"/>
        <w:spacing w:after="20"/>
      </w:pPr>
      <w:r>
        <w:t>4H 定方向，1H 认结构，15m 只找回撤与确认。</w:t>
      </w:r>
    </w:p>
    <w:p>
      <w:pPr>
        <w:pStyle w:val="ListBullet"/>
        <w:spacing w:after="20"/>
      </w:pPr>
      <w:r>
        <w:t>优先 BTC / ETH / SOL / BNB；majors 很乱时可选更清晰的 AI500 币。</w:t>
      </w:r>
    </w:p>
    <w:p>
      <w:pPr>
        <w:pStyle w:val="ListBullet"/>
        <w:spacing w:after="20"/>
      </w:pPr>
      <w:r>
        <w:t>多数周期可以合法 WAIT。</w:t>
      </w:r>
    </w:p>
    <w:p>
      <w:pPr>
        <w:spacing w:after="80"/>
      </w:pPr>
      <w:r>
        <w:rPr>
          <w:i/>
        </w:rPr>
        <w:t>Prompt 文件：prompts/A1_AI500_双周期趋势回撤_PRO_实盘增强版.txt</w:t>
      </w:r>
    </w:p>
    <w:p>
      <w:pPr>
        <w:pStyle w:val="Heading1"/>
      </w:pPr>
      <w:r>
        <w:t>A2｜AI500 社区 Trend 改良版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Source Type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AI500 Data Provider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Excluded Coins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默认留空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Decision Interval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4h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Margin Mode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Isolated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Leverage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BTC/ETH 5x；Alt 3x；Account 2x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Hard Stop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15%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K-Line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15m / 1h / 4h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Indicators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RSI14 / MACD / EMA20 / EMA50 / ATR / OI / Netflow</w:t>
            </w:r>
          </w:p>
        </w:tc>
      </w:tr>
    </w:tbl>
    <w:p>
      <w:pPr>
        <w:pStyle w:val="ListBullet"/>
        <w:spacing w:after="20"/>
      </w:pPr>
      <w:r>
        <w:t>更贴近社区 trend，但加入更严格的 WAIT 与风险约束。</w:t>
      </w:r>
    </w:p>
    <w:p>
      <w:pPr>
        <w:pStyle w:val="ListBullet"/>
        <w:spacing w:after="20"/>
      </w:pPr>
      <w:r>
        <w:t>当 4H 趋势清晰、市场更单边时，比 A1 更顺手。</w:t>
      </w:r>
    </w:p>
    <w:p>
      <w:pPr>
        <w:pStyle w:val="ListBullet"/>
        <w:spacing w:after="20"/>
      </w:pPr>
      <w:r>
        <w:t>4H 有趋势但 1H 很乱时，主动 WAIT。</w:t>
      </w:r>
    </w:p>
    <w:p>
      <w:pPr>
        <w:spacing w:after="80"/>
      </w:pPr>
      <w:r>
        <w:rPr>
          <w:i/>
        </w:rPr>
        <w:t>Prompt 文件：prompts/A2_AI500_社区Trend改良版_实盘增强版.txt</w:t>
      </w:r>
    </w:p>
    <w:p>
      <w:pPr>
        <w:pStyle w:val="Heading1"/>
      </w:pPr>
      <w:r>
        <w:t>S3｜Netflow Top 资金流顺势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Source Type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Netflow Top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Excluded Coins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默认留空；复盘后再排除 flow 与 price 经常打架的币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Decision Interval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30 min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Margin Mode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Isolated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Leverage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BTC/ETH 4x；Alt 2x；Account 2x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Hard Stop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10%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K-Line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15m / 1h / 4h</w:t>
            </w:r>
          </w:p>
        </w:tc>
      </w:tr>
      <w:tr>
        <w:tc>
          <w:tcPr>
            <w:tcW w:type="dxa" w:w="4917"/>
            <w:vAlign w:val="center"/>
            <w:shd w:fill="EFF4F9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sz w:val="19"/>
              </w:rPr>
              <w:t>Indicators</w:t>
            </w:r>
          </w:p>
        </w:tc>
        <w:tc>
          <w:tcPr>
            <w:tcW w:type="dxa" w:w="491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RSI14 / MACD / EMA20 / EMA50 / ATR / BB / OI / Netflow</w:t>
            </w:r>
          </w:p>
        </w:tc>
      </w:tr>
    </w:tbl>
    <w:p>
      <w:pPr>
        <w:pStyle w:val="ListBullet"/>
        <w:spacing w:after="20"/>
      </w:pPr>
      <w:r>
        <w:t>只做价格、OI、净流入方向一致的标的。</w:t>
      </w:r>
    </w:p>
    <w:p>
      <w:pPr>
        <w:pStyle w:val="ListBullet"/>
        <w:spacing w:after="20"/>
      </w:pPr>
      <w:r>
        <w:t>source 排名很强但结构很差时，仍然 WAIT。</w:t>
      </w:r>
    </w:p>
    <w:p>
      <w:pPr>
        <w:pStyle w:val="ListBullet"/>
        <w:spacing w:after="20"/>
      </w:pPr>
      <w:r>
        <w:t>适合作为 AI500 噪音环境下的补充过滤器。</w:t>
      </w:r>
    </w:p>
    <w:p>
      <w:pPr>
        <w:spacing w:after="80"/>
      </w:pPr>
      <w:r>
        <w:rPr>
          <w:i/>
        </w:rPr>
        <w:t>Prompt 文件：prompts/S3_NetflowTop_资金流顺势_实盘增强版.txt</w:t>
      </w:r>
    </w:p>
    <w:p>
      <w:pPr>
        <w:pStyle w:val="Heading1"/>
      </w:pPr>
      <w:r>
        <w:t>切换与暂停规则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27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27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278"/>
            <w:vAlign w:val="center"/>
            <w:shd w:fill="F5F8FB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AI500 候选池偏噪、想优先控回撤</w:t>
            </w:r>
          </w:p>
        </w:tc>
        <w:tc>
          <w:tcPr>
            <w:tcW w:type="dxa" w:w="327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继续跑 A1</w:t>
            </w:r>
          </w:p>
        </w:tc>
        <w:tc>
          <w:tcPr>
            <w:tcW w:type="dxa" w:w="327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WAIT 更健康，回撤更可控</w:t>
            </w:r>
          </w:p>
        </w:tc>
      </w:tr>
      <w:tr>
        <w:tc>
          <w:tcPr>
            <w:tcW w:type="dxa" w:w="3278"/>
            <w:vAlign w:val="center"/>
            <w:shd w:fill="F5F8FB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AI500 多数币 4H 趋势持续清晰</w:t>
            </w:r>
          </w:p>
        </w:tc>
        <w:tc>
          <w:tcPr>
            <w:tcW w:type="dxa" w:w="327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加 A2 或切 A2</w:t>
            </w:r>
          </w:p>
        </w:tc>
        <w:tc>
          <w:tcPr>
            <w:tcW w:type="dxa" w:w="327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更贴近趋势中频节奏</w:t>
            </w:r>
          </w:p>
        </w:tc>
      </w:tr>
      <w:tr>
        <w:tc>
          <w:tcPr>
            <w:tcW w:type="dxa" w:w="3278"/>
            <w:vAlign w:val="center"/>
            <w:shd w:fill="F5F8FB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资金流和 OI 主导明显</w:t>
            </w:r>
          </w:p>
        </w:tc>
        <w:tc>
          <w:tcPr>
            <w:tcW w:type="dxa" w:w="327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切 S3</w:t>
            </w:r>
          </w:p>
        </w:tc>
        <w:tc>
          <w:tcPr>
            <w:tcW w:type="dxa" w:w="327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让 price + OI + netflow 成为主过滤器</w:t>
            </w:r>
          </w:p>
        </w:tc>
      </w:tr>
      <w:tr>
        <w:tc>
          <w:tcPr>
            <w:tcW w:type="dxa" w:w="3278"/>
            <w:vAlign w:val="center"/>
            <w:shd w:fill="F5F8FB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账户距 hard stop 不足 4 个百分点</w:t>
            </w:r>
          </w:p>
        </w:tc>
        <w:tc>
          <w:tcPr>
            <w:tcW w:type="dxa" w:w="327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暂停扩策略</w:t>
            </w:r>
          </w:p>
        </w:tc>
        <w:tc>
          <w:tcPr>
            <w:tcW w:type="dxa" w:w="327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先保本</w:t>
            </w:r>
          </w:p>
        </w:tc>
      </w:tr>
    </w:tbl>
    <w:p>
      <w:pPr>
        <w:pStyle w:val="Heading1"/>
      </w:pPr>
      <w:r>
        <w:t>复盘最少看这 5 点</w:t>
      </w:r>
    </w:p>
    <w:p>
      <w:pPr>
        <w:pStyle w:val="ListBullet"/>
        <w:spacing w:after="20"/>
      </w:pPr>
      <w:r>
        <w:t>WAIT 是因为结构不清，还是模型偷懒？</w:t>
      </w:r>
    </w:p>
    <w:p>
      <w:pPr>
        <w:pStyle w:val="ListBullet"/>
        <w:spacing w:after="20"/>
      </w:pPr>
      <w:r>
        <w:t>如果开仓，是否真的满足 4H / 1H / 15m 多周期条件？</w:t>
      </w:r>
    </w:p>
    <w:p>
      <w:pPr>
        <w:pStyle w:val="ListBullet"/>
        <w:spacing w:after="20"/>
      </w:pPr>
      <w:r>
        <w:t>有没有追单边扩展，而不是等回撤？</w:t>
      </w:r>
    </w:p>
    <w:p>
      <w:pPr>
        <w:pStyle w:val="ListBullet"/>
        <w:spacing w:after="20"/>
      </w:pPr>
      <w:r>
        <w:t>有没有误把 Excluded Coins 当成白名单？</w:t>
      </w:r>
    </w:p>
    <w:p>
      <w:pPr>
        <w:pStyle w:val="ListBullet"/>
        <w:spacing w:after="20"/>
      </w:pPr>
      <w:r>
        <w:t>账户接近 hard stop 时，策略有没有明显变保守？</w:t>
      </w:r>
    </w:p>
    <w:sectPr w:rsidR="00FC693F" w:rsidRPr="0006063C" w:rsidSect="00034616">
      <w:pgSz w:w="11909" w:h="16834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3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D2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646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6376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