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276" w:lineRule="auto"/>
        <w:jc w:val="center"/>
      </w:pPr>
      <w:r>
        <w:rPr>
          <w:b/>
        </w:rPr>
        <w:t>VergeX 实战策略手册（优化版）</w:t>
      </w:r>
    </w:p>
    <w:p>
      <w:pPr>
        <w:pStyle w:val="Subtitle"/>
        <w:spacing w:before="0" w:after="120" w:line="276" w:lineRule="auto"/>
        <w:jc w:val="center"/>
      </w:pPr>
      <w:r>
        <w:rPr>
          <w:i/>
        </w:rPr>
        <w:t>在原始 vergex_strategy_pack 基础上，吸收 v2 / v3 的 UI 修正与 Prompt 实战经验</w:t>
      </w:r>
    </w:p>
    <w:p>
      <w:pPr>
        <w:pStyle w:val="Subtitle"/>
        <w:spacing w:before="0" w:after="120" w:line="276" w:lineRule="auto"/>
        <w:jc w:val="center"/>
      </w:pPr>
      <w:r>
        <w:t>适合：希望保留原始多策略框架，同时避免白名单 / 黑名单配置误判的新手用户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vAlign w:val="center"/>
            <w:shd w:fill="EAF1FB"/>
          </w:tcPr>
          <w:p>
            <w:pPr>
              <w:spacing w:before="40" w:after="40" w:line="269" w:lineRule="auto"/>
            </w:pPr>
            <w:r>
              <w:t>这次修正的核心：非 Custom source 不支持正向白名单；Excluded Coins 始终是黑名单。</w:t>
            </w:r>
          </w:p>
        </w:tc>
      </w:tr>
      <w:tr>
        <w:tc>
          <w:tcPr>
            <w:tcW w:type="dxa" w:w="9866"/>
            <w:vAlign w:val="center"/>
            <w:shd w:fill="F6F8FC"/>
          </w:tcPr>
          <w:p>
            <w:pPr>
              <w:spacing w:before="40" w:after="40" w:line="269" w:lineRule="auto"/>
            </w:pPr>
            <w:r>
              <w:t>所有非 Custom 策略的“优先币种”都改成写进 Prompt，而不是写进 Excluded Coins。</w:t>
            </w:r>
          </w:p>
        </w:tc>
      </w:tr>
      <w:tr>
        <w:tc>
          <w:tcPr>
            <w:tcW w:type="dxa" w:w="9866"/>
            <w:vAlign w:val="center"/>
            <w:shd w:fill="EAF1FB"/>
          </w:tcPr>
          <w:p>
            <w:pPr>
              <w:spacing w:before="40" w:after="40" w:line="269" w:lineRule="auto"/>
            </w:pPr>
            <w:r>
              <w:t>Max Account Leverage 统一改成整数值，更贴近当前 UI 的可填范围。</w:t>
            </w:r>
          </w:p>
        </w:tc>
      </w:tr>
      <w:tr>
        <w:tc>
          <w:tcPr>
            <w:tcW w:type="dxa" w:w="9866"/>
            <w:vAlign w:val="center"/>
            <w:shd w:fill="F6F8FC"/>
          </w:tcPr>
          <w:p>
            <w:pPr>
              <w:spacing w:before="40" w:after="40" w:line="269" w:lineRule="auto"/>
            </w:pPr>
            <w:r>
              <w:t>Prompt 全面升级：只交易当前候选池、禁止交易 Excluded Coins、无信号就 WAIT、风险收益至少 1:3。</w:t>
            </w:r>
          </w:p>
        </w:tc>
      </w:tr>
    </w:tbl>
    <w:p/>
    <w:p>
      <w:pPr>
        <w:pStyle w:val="Heading1"/>
      </w:pPr>
      <w:r>
        <w:t>一、先记住这条 UI 规则</w:t>
      </w:r>
    </w:p>
    <w:p>
      <w:pPr>
        <w:pStyle w:val="ListBullet"/>
        <w:spacing w:before="0" w:after="40" w:line="276" w:lineRule="auto"/>
      </w:pPr>
      <w:r>
        <w:t>Custom：可以用 Select Tokens 做正向白名单。</w:t>
      </w:r>
    </w:p>
    <w:p>
      <w:pPr>
        <w:pStyle w:val="ListBullet"/>
        <w:spacing w:before="0" w:after="40" w:line="276" w:lineRule="auto"/>
      </w:pPr>
      <w:r>
        <w:t>AI500 / Netflow Top / OI Increase / Top Gainers / Top Losers 等非 Custom source：币池由 Source Type 决定，不支持正向白名单。</w:t>
      </w:r>
    </w:p>
    <w:p>
      <w:pPr>
        <w:pStyle w:val="ListBullet"/>
        <w:spacing w:before="0" w:after="40" w:line="276" w:lineRule="auto"/>
      </w:pPr>
      <w:r>
        <w:t>Excluded Coins：永远是排除币种（黑名单）。</w:t>
      </w:r>
    </w:p>
    <w:p>
      <w:pPr>
        <w:pStyle w:val="ListBullet"/>
        <w:spacing w:before="0" w:after="40" w:line="276" w:lineRule="auto"/>
      </w:pPr>
      <w:r>
        <w:t>因此，非 Custom 策略里的“优先做哪些币”，统一写进 Prompt。</w:t>
      </w:r>
    </w:p>
    <w:p>
      <w:pPr>
        <w:pStyle w:val="Heading1"/>
      </w:pPr>
      <w:r>
        <w:t>二、推荐起步路径</w:t>
      </w:r>
    </w:p>
    <w:p>
      <w:pPr>
        <w:pStyle w:val="ListNumber"/>
        <w:spacing w:before="0" w:after="40" w:line="276" w:lineRule="auto"/>
      </w:pPr>
      <w:r>
        <w:t>第一阶段：只跑 S1，目标是先验证节奏、回撤控制和 WAIT 纪律。</w:t>
      </w:r>
    </w:p>
    <w:p>
      <w:pPr>
        <w:pStyle w:val="ListNumber"/>
        <w:spacing w:before="0" w:after="40" w:line="276" w:lineRule="auto"/>
      </w:pPr>
      <w:r>
        <w:t>第二阶段：若 S1 稳定，再增加 S2 或 S3，扩大候选池但保持保守风格。</w:t>
      </w:r>
    </w:p>
    <w:p>
      <w:pPr>
        <w:pStyle w:val="ListNumber"/>
        <w:spacing w:before="0" w:after="40" w:line="276" w:lineRule="auto"/>
      </w:pPr>
      <w:r>
        <w:t>第三阶段：S4 / S5 / S6 / S7 只做分层测试，不要一上来就并行开。</w:t>
      </w:r>
    </w:p>
    <w:p>
      <w:pPr>
        <w:pStyle w:val="Heading1"/>
      </w:pPr>
      <w:r>
        <w:t>三、策略排序总览</w:t>
      </w:r>
    </w:p>
    <w:p>
      <w:r>
        <w:t>下面这张表保留了原始包的 S1-S7 结构，但把后续 UI 修正和 Prompt 经验全部折回进来。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4"/>
        <w:gridCol w:w="1644"/>
        <w:gridCol w:w="1644"/>
        <w:gridCol w:w="1644"/>
        <w:gridCol w:w="1644"/>
        <w:gridCol w:w="1644"/>
      </w:tblGrid>
      <w:tr>
        <w:tc>
          <w:tcPr>
            <w:tcW w:type="dxa" w:w="567"/>
            <w:shd w:fill="274C7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</w:rPr>
              <w:t>排名</w:t>
            </w:r>
          </w:p>
        </w:tc>
        <w:tc>
          <w:tcPr>
            <w:tcW w:type="dxa" w:w="567"/>
            <w:shd w:fill="274C7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</w:rPr>
              <w:t>策略</w:t>
            </w:r>
          </w:p>
        </w:tc>
        <w:tc>
          <w:tcPr>
            <w:tcW w:type="dxa" w:w="1020"/>
            <w:shd w:fill="274C7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</w:rPr>
              <w:t>稳定度</w:t>
            </w:r>
          </w:p>
        </w:tc>
        <w:tc>
          <w:tcPr>
            <w:tcW w:type="dxa" w:w="1701"/>
            <w:shd w:fill="274C7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2721"/>
            <w:shd w:fill="274C7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</w:rPr>
              <w:t>适用场景</w:t>
            </w:r>
          </w:p>
        </w:tc>
        <w:tc>
          <w:tcPr>
            <w:tcW w:type="dxa" w:w="4082"/>
            <w:shd w:fill="274C77"/>
          </w:tcPr>
          <w:p>
            <w:pPr>
              <w:spacing w:before="40" w:after="40" w:line="276" w:lineRule="auto"/>
              <w:jc w:val="center"/>
            </w:pPr>
            <w:r>
              <w:rPr>
                <w:b/>
                <w:color w:val="FFFFFF"/>
              </w:rPr>
              <w:t>一句话定位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1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S1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9" w:lineRule="auto"/>
              <w:jc w:val="center"/>
            </w:pPr>
            <w:r>
              <w:t>85/100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9" w:lineRule="auto"/>
              <w:jc w:val="left"/>
            </w:pPr>
            <w:r>
              <w:t>Custom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59" w:lineRule="auto"/>
              <w:jc w:val="left"/>
            </w:pPr>
            <w:r>
              <w:t>新手第一套实盘；先求稳，再求扩展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59" w:lineRule="auto"/>
              <w:jc w:val="left"/>
            </w:pPr>
            <w:r>
              <w:t>4H 定方向，1H 看结构，15m 只做回撤入场；多数周期允许 WAIT</w:t>
            </w:r>
          </w:p>
        </w:tc>
      </w:tr>
      <w:tr>
        <w:tc>
          <w:tcPr>
            <w:tcW w:type="dxa" w:w="567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2</w:t>
            </w:r>
          </w:p>
        </w:tc>
        <w:tc>
          <w:tcPr>
            <w:tcW w:type="dxa" w:w="567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S2</w:t>
            </w:r>
          </w:p>
        </w:tc>
        <w:tc>
          <w:tcPr>
            <w:tcW w:type="dxa" w:w="1020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81/100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AI500 Data Provider</w:t>
            </w:r>
          </w:p>
        </w:tc>
        <w:tc>
          <w:tcPr>
            <w:tcW w:type="dxa" w:w="2721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S1 稳住后，想扩到 AI500，但仍以控制回撤为主</w:t>
            </w:r>
          </w:p>
        </w:tc>
        <w:tc>
          <w:tcPr>
            <w:tcW w:type="dxa" w:w="4082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AI500 先筛币，4H 定方向，1H 确认结构，15m 只找顺势回撤；若 majors 乱，则只选 AI500 中最清晰的一只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3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S3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9" w:lineRule="auto"/>
              <w:jc w:val="center"/>
            </w:pPr>
            <w:r>
              <w:t>76/100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9" w:lineRule="auto"/>
              <w:jc w:val="left"/>
            </w:pPr>
            <w:r>
              <w:t>Netflow Top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59" w:lineRule="auto"/>
              <w:jc w:val="left"/>
            </w:pPr>
            <w:r>
              <w:t>想把资金流作为首要因子，但不想太激进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59" w:lineRule="auto"/>
              <w:jc w:val="left"/>
            </w:pPr>
            <w:r>
              <w:t>只做 4H 趋势与净流入同向的币；15m 只做回踩，不追已离均值太远的单边扩展</w:t>
            </w:r>
          </w:p>
        </w:tc>
      </w:tr>
      <w:tr>
        <w:tc>
          <w:tcPr>
            <w:tcW w:type="dxa" w:w="567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4</w:t>
            </w:r>
          </w:p>
        </w:tc>
        <w:tc>
          <w:tcPr>
            <w:tcW w:type="dxa" w:w="567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S4</w:t>
            </w:r>
          </w:p>
        </w:tc>
        <w:tc>
          <w:tcPr>
            <w:tcW w:type="dxa" w:w="1020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71/100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OI Increase</w:t>
            </w:r>
          </w:p>
        </w:tc>
        <w:tc>
          <w:tcPr>
            <w:tcW w:type="dxa" w:w="2721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能接受更高波动，想追踪强势突破延续</w:t>
            </w:r>
          </w:p>
        </w:tc>
        <w:tc>
          <w:tcPr>
            <w:tcW w:type="dxa" w:w="4082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OI 增长 + 价格突破 + 15m/1h 结构确认才出手；5m 只做微观触发，不负责定趋势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5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S5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9" w:lineRule="auto"/>
              <w:jc w:val="center"/>
            </w:pPr>
            <w:r>
              <w:t>65/100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9" w:lineRule="auto"/>
              <w:jc w:val="left"/>
            </w:pPr>
            <w:r>
              <w:t>Top Gainers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59" w:lineRule="auto"/>
              <w:jc w:val="left"/>
            </w:pPr>
            <w:r>
              <w:t>强势市场里的回踩接力；追求效率但不想纯追涨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59" w:lineRule="auto"/>
              <w:jc w:val="left"/>
            </w:pPr>
            <w:r>
              <w:t>先看 4H/1H 是否仍强，再等 15m 回踩均线或中枢后接力；不在单根扩展尾部追</w:t>
            </w:r>
          </w:p>
        </w:tc>
      </w:tr>
      <w:tr>
        <w:tc>
          <w:tcPr>
            <w:tcW w:type="dxa" w:w="567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6</w:t>
            </w:r>
          </w:p>
        </w:tc>
        <w:tc>
          <w:tcPr>
            <w:tcW w:type="dxa" w:w="567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S6</w:t>
            </w:r>
          </w:p>
        </w:tc>
        <w:tc>
          <w:tcPr>
            <w:tcW w:type="dxa" w:w="1020"/>
            <w:vAlign w:val="center"/>
            <w:shd w:fill="F7FAFD"/>
          </w:tcPr>
          <w:p>
            <w:pPr>
              <w:spacing w:before="20" w:after="20" w:line="259" w:lineRule="auto"/>
              <w:jc w:val="center"/>
            </w:pPr>
            <w:r>
              <w:t>60/100</w:t>
            </w:r>
          </w:p>
        </w:tc>
        <w:tc>
          <w:tcPr>
            <w:tcW w:type="dxa" w:w="1701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OI Decrease / Netflow Low</w:t>
            </w:r>
          </w:p>
        </w:tc>
        <w:tc>
          <w:tcPr>
            <w:tcW w:type="dxa" w:w="2721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明确支持做空且能接受 squeeze 风险</w:t>
            </w:r>
          </w:p>
        </w:tc>
        <w:tc>
          <w:tcPr>
            <w:tcW w:type="dxa" w:w="4082"/>
            <w:vAlign w:val="center"/>
            <w:shd w:fill="F7FAFD"/>
          </w:tcPr>
          <w:p>
            <w:pPr>
              <w:spacing w:before="20" w:after="20" w:line="259" w:lineRule="auto"/>
              <w:jc w:val="left"/>
            </w:pPr>
            <w:r>
              <w:t>只在 4H 明确下行、1H 弱反弹失败、15m 给出继续转弱触发时做空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7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59" w:lineRule="auto"/>
              <w:jc w:val="center"/>
            </w:pPr>
            <w:r>
              <w:t>S7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59" w:lineRule="auto"/>
              <w:jc w:val="center"/>
            </w:pPr>
            <w:r>
              <w:t>54/100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 w:line="259" w:lineRule="auto"/>
              <w:jc w:val="left"/>
            </w:pPr>
            <w:r>
              <w:t>Top Losers</w:t>
            </w:r>
          </w:p>
        </w:tc>
        <w:tc>
          <w:tcPr>
            <w:tcW w:type="dxa" w:w="2721"/>
            <w:vAlign w:val="center"/>
          </w:tcPr>
          <w:p>
            <w:pPr>
              <w:spacing w:before="20" w:after="20" w:line="259" w:lineRule="auto"/>
              <w:jc w:val="left"/>
            </w:pPr>
            <w:r>
              <w:t>只适合极小资金试验，不适合新手首发</w:t>
            </w:r>
          </w:p>
        </w:tc>
        <w:tc>
          <w:tcPr>
            <w:tcW w:type="dxa" w:w="4082"/>
            <w:vAlign w:val="center"/>
          </w:tcPr>
          <w:p>
            <w:pPr>
              <w:spacing w:before="20" w:after="20" w:line="259" w:lineRule="auto"/>
              <w:jc w:val="left"/>
            </w:pPr>
            <w:r>
              <w:t>仅在跌势衰竭、卖压钝化、OI 不再继续恶化、资金外流收敛时轻仓博反弹</w:t>
            </w:r>
          </w:p>
        </w:tc>
      </w:tr>
    </w:tbl>
    <w:p/>
    <w:p>
      <w:pPr>
        <w:pStyle w:val="Heading1"/>
      </w:pPr>
      <w:r>
        <w:t>四、逐套策略填写说明（按 Studio 第 2-6 步）</w:t>
      </w:r>
    </w:p>
    <w:p>
      <w:r>
        <w:t>每套都已经按当前 UI 习惯改过：非 Custom 不写“白名单”，而是给出 Excluded Coins 用法与 Prompt 优先级。</w:t>
      </w:r>
    </w:p>
    <w:p>
      <w:pPr>
        <w:pStyle w:val="Heading2"/>
      </w:pPr>
      <w:r>
        <w:t>S1｜BTC/ETH 保守双周期趋势回撤（旗舰实盘版）</w:t>
      </w:r>
    </w:p>
    <w:p>
      <w:pPr>
        <w:spacing w:before="0" w:after="40" w:line="276" w:lineRule="auto"/>
      </w:pPr>
      <w:r>
        <w:rPr>
          <w:b/>
        </w:rPr>
        <w:t>稳定度 / 工程置信度：</w:t>
      </w:r>
      <w:r>
        <w:t>85/100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2. Token Scope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Source Type：Custom</w:t>
              <w:br/>
              <w:t>Select Tokens：BTCUSDT, ETHUSDT</w:t>
              <w:br/>
              <w:t>说明：只有 Custom 支持正向白名单；这套严格只做 BTC/ETH。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3. Basic Rules</w:t>
            </w:r>
          </w:p>
        </w:tc>
        <w:tc>
          <w:tcPr>
            <w:tcW w:type="dxa" w:w="7767"/>
            <w:vAlign w:val="center"/>
          </w:tcPr>
          <w:p>
            <w:pPr>
              <w:spacing w:before="20" w:after="20" w:line="259" w:lineRule="auto"/>
            </w:pPr>
            <w:r>
              <w:t>AI Decision Interval：60 min</w:t>
              <w:br/>
              <w:t>Position Mode：Isolated Margin</w:t>
              <w:br/>
              <w:t>BTC/ETH Leverage：3x</w:t>
              <w:br/>
              <w:t>Altcoin Leverage：2x</w:t>
              <w:br/>
              <w:t>Max Account Leverage：1x</w:t>
              <w:br/>
              <w:t>Hard Stop：8%</w:t>
              <w:br/>
              <w:t>K-Line：15m, 1h, 4h</w:t>
              <w:br/>
              <w:t>Indicators：RSI14, MACD, BB, EMA20, EMA50, ATR</w:t>
              <w:br/>
              <w:t>Stats：OI, Netflow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4. Prompt 重点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交易优先级：BTCUSDT / ETHUSDT</w:t>
              <w:br/>
              <w:t>Excluded Coins 建议：不适用；这套直接用 Select Tokens 做正向白名单</w:t>
              <w:br/>
              <w:t>核心逻辑：4H 定方向，1H 看结构，15m 只做回撤入场；多数周期允许 WAIT</w:t>
              <w:br/>
              <w:t>风险提醒：不追单边大阳/大阴；RR 至少 1:3；信号不清就不做</w:t>
              <w:br/>
              <w:t>Prompt 文件：prompts/S1_BTC_ETH_保守双周期趋势回撤_优化版.txt</w:t>
            </w:r>
          </w:p>
        </w:tc>
      </w:tr>
    </w:tbl>
    <w:p/>
    <w:p>
      <w:pPr>
        <w:pStyle w:val="Heading2"/>
      </w:pPr>
      <w:r>
        <w:t>S2｜AI500 保守轮动多因子策略（优化版）</w:t>
      </w:r>
    </w:p>
    <w:p>
      <w:pPr>
        <w:spacing w:before="0" w:after="40" w:line="276" w:lineRule="auto"/>
      </w:pPr>
      <w:r>
        <w:rPr>
          <w:b/>
        </w:rPr>
        <w:t>稳定度 / 工程置信度：</w:t>
      </w:r>
      <w:r>
        <w:t>81/100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2. Token Scope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Source Type：AI500 Data Provider</w:t>
              <w:br/>
              <w:t>Excluded Coins：默认留空；非 Custom 不支持正向白名单，只在测试后把持续假突破、点差异常、异常插针的币加入黑名单。</w:t>
              <w:br/>
              <w:t>说明：候选池由 AI500 决定，交易优先级写进 Prompt。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3. Basic Rules</w:t>
            </w:r>
          </w:p>
        </w:tc>
        <w:tc>
          <w:tcPr>
            <w:tcW w:type="dxa" w:w="7767"/>
            <w:vAlign w:val="center"/>
          </w:tcPr>
          <w:p>
            <w:pPr>
              <w:spacing w:before="20" w:after="20" w:line="259" w:lineRule="auto"/>
            </w:pPr>
            <w:r>
              <w:t>AI Decision Interval：60 min</w:t>
              <w:br/>
              <w:t>Position Mode：Isolated Margin</w:t>
              <w:br/>
              <w:t>BTC/ETH Leverage：4x</w:t>
              <w:br/>
              <w:t>Altcoin Leverage：2x</w:t>
              <w:br/>
              <w:t>Max Account Leverage：2x</w:t>
              <w:br/>
              <w:t>Hard Stop：12%</w:t>
              <w:br/>
              <w:t>K-Line：15m, 1h, 4h</w:t>
              <w:br/>
              <w:t>Indicators：RSI14, MACD, BB, EMA20, EMA50, ATR</w:t>
              <w:br/>
              <w:t>Stats：OI, Netflow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4. Prompt 重点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交易优先级：优先 BTCUSDT / ETHUSDT / SOLUSDT / BNBUSDT；但若它们结构混乱，可从当前 AI500 池中选择更清晰的币</w:t>
              <w:br/>
              <w:t>Excluded Coins 建议：默认留空；只把持续噪音币、点差差、假突破多的币加入 Excluded Coins</w:t>
              <w:br/>
              <w:t>核心逻辑：AI500 先筛币，4H 定方向，1H 确认结构，15m 只找顺势回撤；若 majors 乱，则只选 AI500 中最清晰的一只</w:t>
              <w:br/>
              <w:t>风险提醒：非 Custom 不要把优先币误填进 Excluded Coins；多数周期允许 WAIT</w:t>
              <w:br/>
              <w:t>Prompt 文件：prompts/S2_AI500_保守轮动_优化版.txt</w:t>
            </w:r>
          </w:p>
        </w:tc>
      </w:tr>
    </w:tbl>
    <w:p/>
    <w:p>
      <w:pPr>
        <w:pStyle w:val="Heading2"/>
      </w:pPr>
      <w:r>
        <w:t>S3｜Netflow Top 资金流顺势策略（优化版）</w:t>
      </w:r>
    </w:p>
    <w:p>
      <w:pPr>
        <w:spacing w:before="0" w:after="40" w:line="276" w:lineRule="auto"/>
      </w:pPr>
      <w:r>
        <w:rPr>
          <w:b/>
        </w:rPr>
        <w:t>稳定度 / 工程置信度：</w:t>
      </w:r>
      <w:r>
        <w:t>76/100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2. Token Scope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Source Type：Netflow Top</w:t>
              <w:br/>
              <w:t>Excluded Coins：默认留空；测试后把资金流与价格经常打架、或点差异常的币加入黑名单。</w:t>
              <w:br/>
              <w:t>说明：候选池由 Netflow Top 决定。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3. Basic Rules</w:t>
            </w:r>
          </w:p>
        </w:tc>
        <w:tc>
          <w:tcPr>
            <w:tcW w:type="dxa" w:w="7767"/>
            <w:vAlign w:val="center"/>
          </w:tcPr>
          <w:p>
            <w:pPr>
              <w:spacing w:before="20" w:after="20" w:line="259" w:lineRule="auto"/>
            </w:pPr>
            <w:r>
              <w:t>AI Decision Interval：30 min</w:t>
              <w:br/>
              <w:t>Position Mode：Isolated Margin</w:t>
              <w:br/>
              <w:t>BTC/ETH Leverage：4x</w:t>
              <w:br/>
              <w:t>Altcoin Leverage：2x</w:t>
              <w:br/>
              <w:t>Max Account Leverage：2x</w:t>
              <w:br/>
              <w:t>Hard Stop：10%</w:t>
              <w:br/>
              <w:t>K-Line：15m, 1h, 4h</w:t>
              <w:br/>
              <w:t>Indicators：RSI14, MACD, EMA20, EMA50, ATR, BB</w:t>
              <w:br/>
              <w:t>Stats：OI, Netflow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4. Prompt 重点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交易优先级：优先高流动性主流币；若次级币的 price + netflow + OI 共振更强，可参与</w:t>
              <w:br/>
              <w:t>Excluded Coins 建议：默认留空；只排除持续出现 price / OI / netflow 冲突、经常假突破的币</w:t>
              <w:br/>
              <w:t>核心逻辑：只做 4H 趋势与净流入同向的币；15m 只做回踩，不追已离均值太远的单边扩展</w:t>
              <w:br/>
              <w:t>风险提醒：资金流大幅转弱或 OI 反向时直接 WAIT；不要因为排名靠前就强行交易</w:t>
              <w:br/>
              <w:t>Prompt 文件：prompts/S3_NetflowTop_资金流顺势_优化版.txt</w:t>
            </w:r>
          </w:p>
        </w:tc>
      </w:tr>
    </w:tbl>
    <w:p/>
    <w:p>
      <w:pPr>
        <w:pStyle w:val="Heading2"/>
      </w:pPr>
      <w:r>
        <w:t>S4｜OI Increase 突破延续策略（优化版）</w:t>
      </w:r>
    </w:p>
    <w:p>
      <w:pPr>
        <w:spacing w:before="0" w:after="40" w:line="276" w:lineRule="auto"/>
      </w:pPr>
      <w:r>
        <w:rPr>
          <w:b/>
        </w:rPr>
        <w:t>稳定度 / 工程置信度：</w:t>
      </w:r>
      <w:r>
        <w:t>71/100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2. Token Scope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Source Type：OI Increase</w:t>
              <w:br/>
              <w:t>Excluded Coins：默认留空；高频噪音币、连续出现 OI 增但价格不跟随的币，可在测试后排除。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3. Basic Rules</w:t>
            </w:r>
          </w:p>
        </w:tc>
        <w:tc>
          <w:tcPr>
            <w:tcW w:type="dxa" w:w="7767"/>
            <w:vAlign w:val="center"/>
          </w:tcPr>
          <w:p>
            <w:pPr>
              <w:spacing w:before="20" w:after="20" w:line="259" w:lineRule="auto"/>
            </w:pPr>
            <w:r>
              <w:t>AI Decision Interval：15 min</w:t>
              <w:br/>
              <w:t>Position Mode：Isolated Margin</w:t>
              <w:br/>
              <w:t>BTC/ETH Leverage：4x</w:t>
              <w:br/>
              <w:t>Altcoin Leverage：2x</w:t>
              <w:br/>
              <w:t>Max Account Leverage：2x</w:t>
              <w:br/>
              <w:t>Hard Stop：9%</w:t>
              <w:br/>
              <w:t>K-Line：5m, 15m, 1h, 4h</w:t>
              <w:br/>
              <w:t>Indicators：RSI14, MACD, EMA20, EMA50, ATR, BB</w:t>
              <w:br/>
              <w:t>Stats：OI, Netflow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4. Prompt 重点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交易优先级：优先 BTCUSDT / ETHUSDT / SOLUSDT / BNBUSDT；其余只在突破结构更清晰时考虑</w:t>
              <w:br/>
              <w:t>Excluded Coins 建议：默认留空；测试后优先排掉 OI 增长但价格总是假突破的币</w:t>
              <w:br/>
              <w:t>核心逻辑：OI 增长 + 价格突破 + 15m/1h 结构确认才出手；5m 只做微观触发，不负责定趋势</w:t>
              <w:br/>
              <w:t>风险提醒：最怕拥挤交易与假突破；若价格已离 15m 均值超过 1.5 ATR，不追</w:t>
              <w:br/>
              <w:t>Prompt 文件：prompts/S4_OIIncrease_突破延续_优化版.txt</w:t>
            </w:r>
          </w:p>
        </w:tc>
      </w:tr>
    </w:tbl>
    <w:p/>
    <w:p>
      <w:pPr>
        <w:pStyle w:val="Heading2"/>
      </w:pPr>
      <w:r>
        <w:t>S5｜Top Gainers 强势回踩接力策略（优化版）</w:t>
      </w:r>
    </w:p>
    <w:p>
      <w:pPr>
        <w:spacing w:before="0" w:after="40" w:line="276" w:lineRule="auto"/>
      </w:pPr>
      <w:r>
        <w:rPr>
          <w:b/>
        </w:rPr>
        <w:t>稳定度 / 工程置信度：</w:t>
      </w:r>
      <w:r>
        <w:t>65/100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2. Token Scope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Source Type：Top Gainers</w:t>
              <w:br/>
              <w:t>Excluded Coins：默认留空；测试后优先剔除经常一根冲高后快速回落、点差显著更差的币。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3. Basic Rules</w:t>
            </w:r>
          </w:p>
        </w:tc>
        <w:tc>
          <w:tcPr>
            <w:tcW w:type="dxa" w:w="7767"/>
            <w:vAlign w:val="center"/>
          </w:tcPr>
          <w:p>
            <w:pPr>
              <w:spacing w:before="20" w:after="20" w:line="259" w:lineRule="auto"/>
            </w:pPr>
            <w:r>
              <w:t>AI Decision Interval：15 min</w:t>
              <w:br/>
              <w:t>Position Mode：Isolated Margin</w:t>
              <w:br/>
              <w:t>BTC/ETH Leverage：4x</w:t>
              <w:br/>
              <w:t>Altcoin Leverage：2x</w:t>
              <w:br/>
              <w:t>Max Account Leverage：2x</w:t>
              <w:br/>
              <w:t>Hard Stop：10%</w:t>
              <w:br/>
              <w:t>K-Line：15m, 1h, 4h</w:t>
              <w:br/>
              <w:t>Indicators：RSI14, MACD, EMA20, EMA50, ATR, BB</w:t>
              <w:br/>
              <w:t>Stats：OI, Netflow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4. Prompt 重点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交易优先级：优先高流动性强势币；不强行锁死具体币种</w:t>
              <w:br/>
              <w:t>Excluded Coins 建议：默认留空；只在实测后排掉最容易冲高回落的币</w:t>
              <w:br/>
              <w:t>核心逻辑：先看 4H/1H 是否仍强，再等 15m 回踩均线或中枢后接力；不在单根扩展尾部追</w:t>
              <w:br/>
              <w:t>风险提醒：24H 涨太多时容易均值回归；没有干净回踩就 WAIT</w:t>
              <w:br/>
              <w:t>Prompt 文件：prompts/S5_TopGainers_强势回踩接力_优化版.txt</w:t>
            </w:r>
          </w:p>
        </w:tc>
      </w:tr>
    </w:tbl>
    <w:p/>
    <w:p>
      <w:pPr>
        <w:pStyle w:val="Heading2"/>
      </w:pPr>
      <w:r>
        <w:t>S6｜OI Decrease / Netflow Low 弱势跟随做空（优化版）</w:t>
      </w:r>
    </w:p>
    <w:p>
      <w:pPr>
        <w:spacing w:before="0" w:after="40" w:line="276" w:lineRule="auto"/>
      </w:pPr>
      <w:r>
        <w:rPr>
          <w:b/>
        </w:rPr>
        <w:t>稳定度 / 工程置信度：</w:t>
      </w:r>
      <w:r>
        <w:t>60/100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2. Token Scope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Source Type：OI Decrease 或 Netflow Low</w:t>
              <w:br/>
              <w:t>Excluded Coins：默认留空；测试后可排除 squeeze 过猛、插针异常大的币。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3. Basic Rules</w:t>
            </w:r>
          </w:p>
        </w:tc>
        <w:tc>
          <w:tcPr>
            <w:tcW w:type="dxa" w:w="7767"/>
            <w:vAlign w:val="center"/>
          </w:tcPr>
          <w:p>
            <w:pPr>
              <w:spacing w:before="20" w:after="20" w:line="259" w:lineRule="auto"/>
            </w:pPr>
            <w:r>
              <w:t>AI Decision Interval：15 min</w:t>
              <w:br/>
              <w:t>Position Mode：Isolated Margin</w:t>
              <w:br/>
              <w:t>BTC/ETH Leverage：3x</w:t>
              <w:br/>
              <w:t>Altcoin Leverage：2x</w:t>
              <w:br/>
              <w:t>Max Account Leverage：1x</w:t>
              <w:br/>
              <w:t>Hard Stop：8%</w:t>
              <w:br/>
              <w:t>K-Line：15m, 1h, 4h</w:t>
              <w:br/>
              <w:t>Indicators：RSI14, MACD, EMA20, EMA50, ATR, BB</w:t>
              <w:br/>
              <w:t>Stats：OI, Netflow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4. Prompt 重点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交易优先级：优先流动性较好的弱势币；其余只在弱反弹失败结构很清晰时参与</w:t>
              <w:br/>
              <w:t>Excluded Coins 建议：默认留空；测试后优先排掉经常被急速空头回补拉爆的币</w:t>
              <w:br/>
              <w:t>核心逻辑：只在 4H 明确下行、1H 弱反弹失败、15m 给出继续转弱触发时做空</w:t>
              <w:br/>
              <w:t>风险提醒：极端超跌位置不追空；必须写清 invalidation 与 WAIT 条件</w:t>
              <w:br/>
              <w:t>Prompt 文件：prompts/S6_OIDecrease_NetflowLow_弱势做空_优化版.txt</w:t>
            </w:r>
          </w:p>
        </w:tc>
      </w:tr>
    </w:tbl>
    <w:p/>
    <w:p>
      <w:pPr>
        <w:pStyle w:val="Heading2"/>
      </w:pPr>
      <w:r>
        <w:t>S7｜Top Losers 超跌反弹试验策略（优化版）</w:t>
      </w:r>
    </w:p>
    <w:p>
      <w:pPr>
        <w:spacing w:before="0" w:after="40" w:line="276" w:lineRule="auto"/>
      </w:pPr>
      <w:r>
        <w:rPr>
          <w:b/>
        </w:rPr>
        <w:t>稳定度 / 工程置信度：</w:t>
      </w:r>
      <w:r>
        <w:t>54/100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2. Token Scope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Source Type：Top Losers</w:t>
              <w:br/>
              <w:t>Excluded Coins：默认留空；测试后可剔除完全失去流动性、连续插针、盘口质量极差的币。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3. Basic Rules</w:t>
            </w:r>
          </w:p>
        </w:tc>
        <w:tc>
          <w:tcPr>
            <w:tcW w:type="dxa" w:w="7767"/>
            <w:vAlign w:val="center"/>
          </w:tcPr>
          <w:p>
            <w:pPr>
              <w:spacing w:before="20" w:after="20" w:line="259" w:lineRule="auto"/>
            </w:pPr>
            <w:r>
              <w:t>AI Decision Interval：15 min</w:t>
              <w:br/>
              <w:t>Position Mode：Isolated Margin</w:t>
              <w:br/>
              <w:t>BTC/ETH Leverage：2x</w:t>
              <w:br/>
              <w:t>Altcoin Leverage：1x</w:t>
              <w:br/>
              <w:t>Max Account Leverage：1x</w:t>
              <w:br/>
              <w:t>Hard Stop：6%</w:t>
              <w:br/>
              <w:t>K-Line：15m, 1h, 4h</w:t>
              <w:br/>
              <w:t>Indicators：RSI14, MACD, EMA20, EMA50, ATR, BB</w:t>
              <w:br/>
              <w:t>Stats：OI, Netflow</w:t>
            </w:r>
          </w:p>
        </w:tc>
      </w:tr>
      <w:tr>
        <w:tc>
          <w:tcPr>
            <w:tcW w:type="dxa" w:w="1871"/>
            <w:shd w:fill="DCE6F2"/>
            <w:vAlign w:val="center"/>
          </w:tcPr>
          <w:p>
            <w:pPr>
              <w:spacing w:before="20" w:after="20" w:line="259" w:lineRule="auto"/>
            </w:pPr>
            <w:r>
              <w:rPr>
                <w:b/>
              </w:rPr>
              <w:t>4. Prompt 重点</w:t>
            </w:r>
          </w:p>
        </w:tc>
        <w:tc>
          <w:tcPr>
            <w:tcW w:type="dxa" w:w="7767"/>
            <w:shd w:fill="F7FAFD"/>
            <w:vAlign w:val="center"/>
          </w:tcPr>
          <w:p>
            <w:pPr>
              <w:spacing w:before="20" w:after="20" w:line="259" w:lineRule="auto"/>
            </w:pPr>
            <w:r>
              <w:t>交易优先级：优先仍有流动性、且跌势衰竭信号最明确的币</w:t>
              <w:br/>
              <w:t>Excluded Coins 建议：默认留空；只排除极端脏数据、极差流动性的币</w:t>
              <w:br/>
              <w:t>核心逻辑：仅在跌势衰竭、卖压钝化、OI 不再继续恶化、资金外流收敛时轻仓博反弹</w:t>
              <w:br/>
              <w:t>风险提醒：最脆弱；没有双重确认就 WAIT；绝不重仓</w:t>
              <w:br/>
              <w:t>Prompt 文件：prompts/S7_TopLosers_超跌反弹试验_优化版.txt</w:t>
            </w:r>
          </w:p>
        </w:tc>
      </w:tr>
    </w:tbl>
    <w:p/>
    <w:p>
      <w:pPr>
        <w:pStyle w:val="Heading1"/>
      </w:pPr>
      <w:r>
        <w:t>五、Prompt 通用增强段</w:t>
      </w:r>
    </w:p>
    <w:p>
      <w:r>
        <w:t>如果你后续自己改 Prompt，建议保留下面这些硬约束。</w:t>
      </w:r>
    </w:p>
    <w:p>
      <w:pPr>
        <w:pStyle w:val="ListBullet"/>
        <w:spacing w:before="0" w:after="20" w:line="276" w:lineRule="auto"/>
      </w:pPr>
      <w:r>
        <w:t>Trade only symbols that are currently in the selected source universe.</w:t>
      </w:r>
    </w:p>
    <w:p>
      <w:pPr>
        <w:pStyle w:val="ListBullet"/>
        <w:spacing w:before="0" w:after="20" w:line="276" w:lineRule="auto"/>
      </w:pPr>
      <w:r>
        <w:t>Do not analyze, select, or trade any symbol listed in Excluded Coins.</w:t>
      </w:r>
    </w:p>
    <w:p>
      <w:pPr>
        <w:pStyle w:val="ListBullet"/>
        <w:spacing w:before="0" w:after="20" w:line="276" w:lineRule="auto"/>
      </w:pPr>
      <w:r>
        <w:t>If there is no valid setup, output WAIT and explain which trigger level must break or hold before considering entry.</w:t>
      </w:r>
    </w:p>
    <w:p>
      <w:pPr>
        <w:pStyle w:val="ListBullet"/>
        <w:spacing w:before="0" w:after="20" w:line="276" w:lineRule="auto"/>
      </w:pPr>
      <w:r>
        <w:t>Prefer fewer high-quality trades. Most cycles may legitimately be WAIT or HOLD.</w:t>
      </w:r>
    </w:p>
    <w:p>
      <w:pPr>
        <w:pStyle w:val="ListBullet"/>
        <w:spacing w:before="0" w:after="20" w:line="276" w:lineRule="auto"/>
      </w:pPr>
      <w:r>
        <w:t>Respect the account-level hard stop and preserve capital if the account is near the circuit breaker.</w:t>
      </w:r>
    </w:p>
    <w:p>
      <w:pPr>
        <w:pStyle w:val="Heading1"/>
      </w:pPr>
      <w:r>
        <w:t>六、最后提醒</w:t>
      </w:r>
    </w:p>
    <w:p>
      <w:pPr>
        <w:pStyle w:val="ListBullet"/>
        <w:spacing w:before="0" w:after="40" w:line="276" w:lineRule="auto"/>
      </w:pPr>
      <w:r>
        <w:t>S1 仍是最适合第一次小仓实盘的方案。</w:t>
      </w:r>
    </w:p>
    <w:p>
      <w:pPr>
        <w:pStyle w:val="ListBullet"/>
        <w:spacing w:before="0" w:after="40" w:line="276" w:lineRule="auto"/>
      </w:pPr>
      <w:r>
        <w:t>S2 是原始包里最值得吸收 AI500 优势的升级位。</w:t>
      </w:r>
    </w:p>
    <w:p>
      <w:pPr>
        <w:pStyle w:val="ListBullet"/>
        <w:spacing w:before="0" w:after="40" w:line="276" w:lineRule="auto"/>
      </w:pPr>
      <w:r>
        <w:t>S4 / S5 / S6 / S7 都更依赖行情环境，不适合作为首发策略。</w:t>
      </w:r>
    </w:p>
    <w:p>
      <w:pPr>
        <w:pStyle w:val="ListBullet"/>
        <w:spacing w:before="0" w:after="40" w:line="276" w:lineRule="auto"/>
      </w:pPr>
      <w:r>
        <w:t>稳定度不是收益保证；真正决定策略能不能活下来的是 source、周期、Prompt 和风控是否匹配。</w:t>
      </w:r>
    </w:p>
    <w:sectPr w:rsidR="00FC693F" w:rsidRPr="0006063C" w:rsidSect="00034616"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74C7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F3A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Microsoft YaHe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