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Microsoft YaHei" w:ascii="Arial" w:hAnsi="Arial"/>
          <w:b/>
          <w:color w:val="12365C"/>
          <w:sz w:val="40"/>
        </w:rPr>
        <w:t>VergeX 运行数据驱动优化手册 v6</w:t>
      </w:r>
    </w:p>
    <w:p>
      <w:pPr>
        <w:jc w:val="center"/>
      </w:pPr>
      <w:r>
        <w:rPr>
          <w:rFonts w:eastAsia="Microsoft YaHei" w:ascii="Arial" w:hAnsi="Arial"/>
          <w:b w:val="0"/>
          <w:color w:val="5A5A5A"/>
          <w:sz w:val="21"/>
        </w:rPr>
        <w:t>基于 A1 / S3 实盘运行数据，对 live mini pack 与 v5 全策略做的统一升级版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  <w:shd w:fill="EEF5FB"/>
          </w:tcPr>
          <w:p>
            <w:r>
              <w:t>本次核心目标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  <w:shd w:fill="EEF5FB"/>
          </w:tcPr>
          <w:p>
            <w:r>
              <w:t>修复 A1 长期不开单；保留 S3 的稳定性；把 v5 全策略升级成更可执行的实盘 prompts。</w:t>
            </w:r>
          </w:p>
        </w:tc>
      </w:tr>
    </w:tbl>
    <w:p>
      <w:pPr>
        <w:pStyle w:val="Heading1"/>
      </w:pPr>
      <w:r>
        <w:t>一、运行数据结论</w:t>
      </w:r>
    </w:p>
    <w:p>
      <w:pPr>
        <w:pStyle w:val="ListBullet"/>
      </w:pPr>
      <w:r>
        <w:rPr>
          <w:rFonts w:eastAsia="Microsoft YaHei" w:ascii="Arial" w:hAnsi="Arial"/>
          <w:sz w:val="21"/>
        </w:rPr>
        <w:t>A1 在 16 个采样周期里没有产生交易，核心不是“策略失效”，而是过滤器过满：同一批 AI500 候选长期处于过度延伸、等待回撤、等待确认的状态。</w:t>
      </w:r>
    </w:p>
    <w:p>
      <w:pPr>
        <w:pStyle w:val="ListBullet"/>
      </w:pPr>
      <w:r>
        <w:rPr>
          <w:rFonts w:eastAsia="Microsoft YaHei" w:ascii="Arial" w:hAnsi="Arial"/>
          <w:sz w:val="21"/>
        </w:rPr>
        <w:t>A1 候选高度集中在 ZECUSDT、RAVEUSDT、TRADOORUSDT；其中第一名出现 15 次。</w:t>
      </w:r>
    </w:p>
    <w:p>
      <w:pPr>
        <w:pStyle w:val="ListBullet"/>
      </w:pPr>
      <w:r>
        <w:rPr>
          <w:rFonts w:eastAsia="Microsoft YaHei" w:ascii="Arial" w:hAnsi="Arial"/>
          <w:sz w:val="21"/>
        </w:rPr>
        <w:t>S3 的样本更接近稳态策略：总权益在 105.61 ~ 110.04 之间波动，但平均保证金使用率接近 70.0%。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t>A1 高频阻塞原因</w:t>
            </w:r>
          </w:p>
        </w:tc>
        <w:tc>
          <w:tcPr>
            <w:tcW w:type="dxa" w:w="49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t>出现周期数</w:t>
            </w:r>
          </w:p>
        </w:tc>
      </w:tr>
      <w:tr>
        <w:tc>
          <w:tcPr>
            <w:tcW w:type="dxa" w:w="4968"/>
          </w:tcPr>
          <w:p>
            <w:r>
              <w:t>过度延伸/抛物线</w:t>
            </w:r>
          </w:p>
        </w:tc>
        <w:tc>
          <w:tcPr>
            <w:tcW w:type="dxa" w:w="4968"/>
          </w:tcPr>
          <w:p>
            <w:r>
              <w:t>16</w:t>
            </w:r>
          </w:p>
        </w:tc>
      </w:tr>
      <w:tr>
        <w:tc>
          <w:tcPr>
            <w:tcW w:type="dxa" w:w="4968"/>
          </w:tcPr>
          <w:p>
            <w:r>
              <w:t>需要更深回撤</w:t>
            </w:r>
          </w:p>
        </w:tc>
        <w:tc>
          <w:tcPr>
            <w:tcW w:type="dxa" w:w="4968"/>
          </w:tcPr>
          <w:p>
            <w:r>
              <w:t>16</w:t>
            </w:r>
          </w:p>
        </w:tc>
      </w:tr>
      <w:tr>
        <w:tc>
          <w:tcPr>
            <w:tcW w:type="dxa" w:w="4968"/>
          </w:tcPr>
          <w:p>
            <w:r>
              <w:t>需要突破/回收确认</w:t>
            </w:r>
          </w:p>
        </w:tc>
        <w:tc>
          <w:tcPr>
            <w:tcW w:type="dxa" w:w="4968"/>
          </w:tcPr>
          <w:p>
            <w:r>
              <w:t>16</w:t>
            </w:r>
          </w:p>
        </w:tc>
      </w:tr>
      <w:tr>
        <w:tc>
          <w:tcPr>
            <w:tcW w:type="dxa" w:w="4968"/>
          </w:tcPr>
          <w:p>
            <w:r>
              <w:t>15m 区间/震荡太多</w:t>
            </w:r>
          </w:p>
        </w:tc>
        <w:tc>
          <w:tcPr>
            <w:tcW w:type="dxa" w:w="4968"/>
          </w:tcPr>
          <w:p>
            <w:r>
              <w:t>16</w:t>
            </w:r>
          </w:p>
        </w:tc>
      </w:tr>
      <w:tr>
        <w:tc>
          <w:tcPr>
            <w:tcW w:type="dxa" w:w="4968"/>
          </w:tcPr>
          <w:p>
            <w:r>
              <w:t>流向/OI 不够一致</w:t>
            </w:r>
          </w:p>
        </w:tc>
        <w:tc>
          <w:tcPr>
            <w:tcW w:type="dxa" w:w="4968"/>
          </w:tcPr>
          <w:p>
            <w:r>
              <w:t>16</w:t>
            </w:r>
          </w:p>
        </w:tc>
      </w:tr>
    </w:tbl>
    <w:p>
      <w:pPr>
        <w:pStyle w:val="Heading1"/>
      </w:pPr>
      <w:r>
        <w:t>二、这版升级的设计原则</w:t>
      </w:r>
    </w:p>
    <w:p>
      <w:pPr>
        <w:pStyle w:val="ListBullet"/>
      </w:pPr>
      <w:r>
        <w:rPr>
          <w:rFonts w:eastAsia="Microsoft YaHei" w:ascii="Arial" w:hAnsi="Arial"/>
          <w:sz w:val="21"/>
        </w:rPr>
        <w:t>从 perfect alignment 改成 practical alignment：一个 flow 因子支持、另一个中性时允许做；强冲突才 WAIT。</w:t>
      </w:r>
    </w:p>
    <w:p>
      <w:pPr>
        <w:pStyle w:val="ListBullet"/>
      </w:pPr>
      <w:r>
        <w:rPr>
          <w:rFonts w:eastAsia="Microsoft YaHei" w:ascii="Arial" w:hAnsi="Arial"/>
          <w:sz w:val="21"/>
        </w:rPr>
        <w:t>从单一 archetype 改成双 archetype：pullback continuation + breakout/retest/reclaim continuation。</w:t>
      </w:r>
    </w:p>
    <w:p>
      <w:pPr>
        <w:pStyle w:val="ListBullet"/>
      </w:pPr>
      <w:r>
        <w:rPr>
          <w:rFonts w:eastAsia="Microsoft YaHei" w:ascii="Arial" w:hAnsi="Arial"/>
          <w:sz w:val="21"/>
        </w:rPr>
        <w:t>非 Custom source 一律按“当前 source universe + Excluded Coins 黑名单”处理，不再出现白名单歧义。</w:t>
      </w:r>
    </w:p>
    <w:p>
      <w:pPr>
        <w:pStyle w:val="ListBullet"/>
      </w:pPr>
      <w:r>
        <w:rPr>
          <w:rFonts w:eastAsia="Microsoft YaHei" w:ascii="Arial" w:hAnsi="Arial"/>
          <w:sz w:val="21"/>
        </w:rPr>
        <w:t>所有策略都把 WAIT 写成“带触发位的 WAIT”，方便人工复核和二次排查。</w:t>
      </w:r>
    </w:p>
    <w:p>
      <w:pPr>
        <w:pStyle w:val="ListBullet"/>
      </w:pPr>
      <w:r>
        <w:rPr>
          <w:rFonts w:eastAsia="Microsoft YaHei" w:ascii="Arial" w:hAnsi="Arial"/>
          <w:sz w:val="21"/>
        </w:rPr>
        <w:t>所有策略都引入 margin regime：高保证金时先管仓，低保证金时才考虑加新单。</w:t>
      </w:r>
    </w:p>
    <w:p>
      <w:pPr>
        <w:pStyle w:val="Heading1"/>
      </w:pPr>
      <w:r>
        <w:t>三、优先级与推荐配置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t>排名</w:t>
            </w:r>
          </w:p>
        </w:tc>
        <w:tc>
          <w:tcPr>
            <w:tcW w:type="dxa" w:w="19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t>策略</w:t>
            </w:r>
          </w:p>
        </w:tc>
        <w:tc>
          <w:tcPr>
            <w:tcW w:type="dxa" w:w="19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t>推荐角色</w:t>
            </w:r>
          </w:p>
        </w:tc>
        <w:tc>
          <w:tcPr>
            <w:tcW w:type="dxa" w:w="19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t>建议周期</w:t>
            </w:r>
          </w:p>
        </w:tc>
        <w:tc>
          <w:tcPr>
            <w:tcW w:type="dxa" w:w="19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r>
              <w:t>升级重点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S3 PRO v2</w:t>
            </w:r>
          </w:p>
        </w:tc>
        <w:tc>
          <w:tcPr>
            <w:tcW w:type="dxa" w:w="1987"/>
          </w:tcPr>
          <w:p>
            <w:r>
              <w:t>当前主跑</w:t>
            </w:r>
          </w:p>
        </w:tc>
        <w:tc>
          <w:tcPr>
            <w:tcW w:type="dxa" w:w="1987"/>
          </w:tcPr>
          <w:p>
            <w:r>
              <w:t>30 min</w:t>
            </w:r>
          </w:p>
        </w:tc>
        <w:tc>
          <w:tcPr>
            <w:tcW w:type="dxa" w:w="1987"/>
          </w:tcPr>
          <w:p>
            <w:r>
              <w:t>保留 price+flow 优势，新增 USDT→USDC 代理和组合风控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A1 PLUS v2</w:t>
            </w:r>
          </w:p>
        </w:tc>
        <w:tc>
          <w:tcPr>
            <w:tcW w:type="dxa" w:w="1987"/>
          </w:tcPr>
          <w:p>
            <w:r>
              <w:t>AI500 主跑增强版</w:t>
            </w:r>
          </w:p>
        </w:tc>
        <w:tc>
          <w:tcPr>
            <w:tcW w:type="dxa" w:w="1987"/>
          </w:tcPr>
          <w:p>
            <w:r>
              <w:t>30 min</w:t>
            </w:r>
          </w:p>
        </w:tc>
        <w:tc>
          <w:tcPr>
            <w:tcW w:type="dxa" w:w="1987"/>
          </w:tcPr>
          <w:p>
            <w:r>
              <w:t>解决长期 WAIT，允许 base breakout/reclaim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A2 PRO v2</w:t>
            </w:r>
          </w:p>
        </w:tc>
        <w:tc>
          <w:tcPr>
            <w:tcW w:type="dxa" w:w="1987"/>
          </w:tcPr>
          <w:p>
            <w:r>
              <w:t>AI500 趋势补充</w:t>
            </w:r>
          </w:p>
        </w:tc>
        <w:tc>
          <w:tcPr>
            <w:tcW w:type="dxa" w:w="1987"/>
          </w:tcPr>
          <w:p>
            <w:r>
              <w:t>60 min</w:t>
            </w:r>
          </w:p>
        </w:tc>
        <w:tc>
          <w:tcPr>
            <w:tcW w:type="dxa" w:w="1987"/>
          </w:tcPr>
          <w:p>
            <w:r>
              <w:t>趋势 continuation 更清晰时启用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S1 运行优化版</w:t>
            </w:r>
          </w:p>
        </w:tc>
        <w:tc>
          <w:tcPr>
            <w:tcW w:type="dxa" w:w="1987"/>
          </w:tcPr>
          <w:p>
            <w:r>
              <w:t>主流币稳态补充</w:t>
            </w:r>
          </w:p>
        </w:tc>
        <w:tc>
          <w:tcPr>
            <w:tcW w:type="dxa" w:w="1987"/>
          </w:tcPr>
          <w:p>
            <w:r>
              <w:t>60 min</w:t>
            </w:r>
          </w:p>
        </w:tc>
        <w:tc>
          <w:tcPr>
            <w:tcW w:type="dxa" w:w="1987"/>
          </w:tcPr>
          <w:p>
            <w:r>
              <w:t>只做 BTC/ETH，但不再只认深回撤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S4 运行优化版</w:t>
            </w:r>
          </w:p>
        </w:tc>
        <w:tc>
          <w:tcPr>
            <w:tcW w:type="dxa" w:w="1987"/>
          </w:tcPr>
          <w:p>
            <w:r>
              <w:t>突破延续补充</w:t>
            </w:r>
          </w:p>
        </w:tc>
        <w:tc>
          <w:tcPr>
            <w:tcW w:type="dxa" w:w="1987"/>
          </w:tcPr>
          <w:p>
            <w:r>
              <w:t>15 min</w:t>
            </w:r>
          </w:p>
        </w:tc>
        <w:tc>
          <w:tcPr>
            <w:tcW w:type="dxa" w:w="1987"/>
          </w:tcPr>
          <w:p>
            <w:r>
              <w:t>强化 breakout-retest 执行</w:t>
            </w:r>
          </w:p>
        </w:tc>
      </w:tr>
    </w:tbl>
    <w:p>
      <w:pPr>
        <w:pStyle w:val="Heading1"/>
      </w:pPr>
      <w:r>
        <w:t>四、策略文件清单</w:t>
      </w:r>
    </w:p>
    <w:p>
      <w:pPr>
        <w:pStyle w:val="ListBullet"/>
      </w:pPr>
      <w:r>
        <w:rPr>
          <w:rFonts w:eastAsia="Microsoft YaHei" w:ascii="Arial" w:hAnsi="Arial"/>
          <w:sz w:val="21"/>
        </w:rPr>
        <w:t>prompts/A1_AI500_双周期趋势回撤_PLUS_v2.txt</w:t>
      </w:r>
    </w:p>
    <w:p>
      <w:pPr>
        <w:pStyle w:val="ListBullet"/>
      </w:pPr>
      <w:r>
        <w:rPr>
          <w:rFonts w:eastAsia="Microsoft YaHei" w:ascii="Arial" w:hAnsi="Arial"/>
          <w:sz w:val="21"/>
        </w:rPr>
        <w:t>prompts/A2_AI500_社区Trend_PRO_v2.txt</w:t>
      </w:r>
    </w:p>
    <w:p>
      <w:pPr>
        <w:pStyle w:val="ListBullet"/>
      </w:pPr>
      <w:r>
        <w:rPr>
          <w:rFonts w:eastAsia="Microsoft YaHei" w:ascii="Arial" w:hAnsi="Arial"/>
          <w:sz w:val="21"/>
        </w:rPr>
        <w:t>prompts/S3_NetflowTop_资金流顺势_PRO_v2.txt</w:t>
      </w:r>
    </w:p>
    <w:p>
      <w:pPr>
        <w:pStyle w:val="ListBullet"/>
      </w:pPr>
      <w:r>
        <w:rPr>
          <w:rFonts w:eastAsia="Microsoft YaHei" w:ascii="Arial" w:hAnsi="Arial"/>
          <w:sz w:val="21"/>
        </w:rPr>
        <w:t>prompts/S1_BTC_ETH_保守双周期趋势回撤_运行优化版.txt</w:t>
      </w:r>
    </w:p>
    <w:p>
      <w:pPr>
        <w:pStyle w:val="ListBullet"/>
      </w:pPr>
      <w:r>
        <w:rPr>
          <w:rFonts w:eastAsia="Microsoft YaHei" w:ascii="Arial" w:hAnsi="Arial"/>
          <w:sz w:val="21"/>
        </w:rPr>
        <w:t>prompts/S2_AI500_保守轮动_运行优化版.txt</w:t>
      </w:r>
    </w:p>
    <w:p>
      <w:pPr>
        <w:pStyle w:val="ListBullet"/>
      </w:pPr>
      <w:r>
        <w:rPr>
          <w:rFonts w:eastAsia="Microsoft YaHei" w:ascii="Arial" w:hAnsi="Arial"/>
          <w:sz w:val="21"/>
        </w:rPr>
        <w:t>prompts/S4_OIIncrease_突破延续_运行优化版.txt</w:t>
      </w:r>
    </w:p>
    <w:p>
      <w:pPr>
        <w:pStyle w:val="ListBullet"/>
      </w:pPr>
      <w:r>
        <w:rPr>
          <w:rFonts w:eastAsia="Microsoft YaHei" w:ascii="Arial" w:hAnsi="Arial"/>
          <w:sz w:val="21"/>
        </w:rPr>
        <w:t>prompts/S5_TopGainers_强势回踩接力_运行优化版.txt</w:t>
      </w:r>
    </w:p>
    <w:p>
      <w:pPr>
        <w:pStyle w:val="ListBullet"/>
      </w:pPr>
      <w:r>
        <w:rPr>
          <w:rFonts w:eastAsia="Microsoft YaHei" w:ascii="Arial" w:hAnsi="Arial"/>
          <w:sz w:val="21"/>
        </w:rPr>
        <w:t>prompts/S6_OIDecrease_NetflowLow_弱势做空_运行优化版.txt</w:t>
      </w:r>
    </w:p>
    <w:p>
      <w:pPr>
        <w:pStyle w:val="ListBullet"/>
      </w:pPr>
      <w:r>
        <w:rPr>
          <w:rFonts w:eastAsia="Microsoft YaHei" w:ascii="Arial" w:hAnsi="Arial"/>
          <w:sz w:val="21"/>
        </w:rPr>
        <w:t>prompts/S7_TopLosers_超跌反弹试验_运行优化版.txt</w:t>
      </w:r>
    </w:p>
    <w:p>
      <w:pPr>
        <w:pStyle w:val="ListBullet"/>
      </w:pPr>
      <w:r>
        <w:rPr>
          <w:rFonts w:eastAsia="Microsoft YaHei" w:ascii="Arial" w:hAnsi="Arial"/>
          <w:sz w:val="21"/>
        </w:rPr>
        <w:t>prompts/S3_NetflowTop_资金流顺势_运行优化版.txt</w:t>
      </w:r>
    </w:p>
    <w:p>
      <w:pPr>
        <w:pStyle w:val="Heading1"/>
      </w:pPr>
      <w:r>
        <w:t>五、实盘落地建议</w:t>
      </w:r>
    </w:p>
    <w:p>
      <w:pPr>
        <w:pStyle w:val="ListBullet"/>
      </w:pPr>
      <w:r>
        <w:rPr>
          <w:rFonts w:eastAsia="Microsoft YaHei" w:ascii="Arial" w:hAnsi="Arial"/>
          <w:sz w:val="21"/>
        </w:rPr>
        <w:t>先继续把 S3 PRO v2 作为主跑，观察新增 margin regime 后，65% 以上长期满载是否得到改善。</w:t>
      </w:r>
    </w:p>
    <w:p>
      <w:pPr>
        <w:pStyle w:val="ListBullet"/>
      </w:pPr>
      <w:r>
        <w:rPr>
          <w:rFonts w:eastAsia="Microsoft YaHei" w:ascii="Arial" w:hAnsi="Arial"/>
          <w:sz w:val="21"/>
        </w:rPr>
        <w:t>把 A1 切到 PLUS v2，并把 Decision Interval 从 60 min 改成 30 min；如果 AI500 连续推同类极端币，可临时手动加入 Excluded Coins。</w:t>
      </w:r>
    </w:p>
    <w:p>
      <w:pPr>
        <w:pStyle w:val="ListBullet"/>
      </w:pPr>
      <w:r>
        <w:rPr>
          <w:rFonts w:eastAsia="Microsoft YaHei" w:ascii="Arial" w:hAnsi="Arial"/>
          <w:sz w:val="21"/>
        </w:rPr>
        <w:t>A1 / A2 / S3 不建议同时都高频开启；当前更建议 S3 主跑 + A1 辅跑。</w:t>
      </w:r>
    </w:p>
    <w:p>
      <w:pPr>
        <w:pStyle w:val="ListBullet"/>
      </w:pPr>
      <w:r>
        <w:rPr>
          <w:rFonts w:eastAsia="Microsoft YaHei" w:ascii="Arial" w:hAnsi="Arial"/>
          <w:sz w:val="21"/>
        </w:rPr>
        <w:t>S7 仍然保持实验定位，仓位最小。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236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