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4CD7B">
      <w:pPr>
        <w:jc w:val="center"/>
      </w:pPr>
      <w:r>
        <w:rPr>
          <w:rFonts w:ascii="Times New Roman" w:hAnsi="Times New Roman" w:eastAsia="黑体"/>
          <w:b/>
          <w:i w:val="0"/>
          <w:sz w:val="32"/>
        </w:rPr>
        <w:t>优化提升后的论文新草稿（第三份）</w:t>
      </w:r>
    </w:p>
    <w:p w14:paraId="08775109">
      <w:pPr>
        <w:jc w:val="center"/>
      </w:pPr>
      <w:r>
        <w:rPr>
          <w:rFonts w:ascii="Times New Roman" w:hAnsi="Times New Roman" w:eastAsia="宋体"/>
          <w:b/>
          <w:i w:val="0"/>
          <w:sz w:val="24"/>
        </w:rPr>
        <w:t>Phase-Aware LLM-Guided Meta-Controller for Multi-UAV Formation Learning</w:t>
      </w:r>
    </w:p>
    <w:p w14:paraId="625760C0">
      <w:pPr>
        <w:jc w:val="center"/>
      </w:pPr>
      <w:r>
        <w:rPr>
          <w:rFonts w:ascii="Times New Roman" w:hAnsi="Times New Roman" w:eastAsia="楷体"/>
          <w:b w:val="0"/>
          <w:i w:val="0"/>
          <w:sz w:val="24"/>
        </w:rPr>
        <w:t>—— 目标期刊：Neurocomputing（Elsevier）修订版 v2.0 ——</w:t>
      </w:r>
    </w:p>
    <w:p w14:paraId="6BBE2D49">
      <w:pPr>
        <w:jc w:val="center"/>
      </w:pPr>
      <w:r>
        <w:rPr>
          <w:rFonts w:ascii="Times New Roman" w:hAnsi="Times New Roman" w:eastAsia="宋体"/>
          <w:b w:val="0"/>
          <w:i w:val="0"/>
          <w:sz w:val="20"/>
        </w:rPr>
        <w:t>生成日期：2026年7月24日</w:t>
      </w:r>
    </w:p>
    <w:p w14:paraId="0854286F">
      <w:pPr>
        <w:jc w:val="both"/>
      </w:pPr>
      <w:r>
        <w:rPr>
          <w:rFonts w:ascii="Times New Roman" w:hAnsi="Times New Roman" w:eastAsia="黑体"/>
          <w:b/>
          <w:i w:val="0"/>
          <w:sz w:val="28"/>
        </w:rPr>
        <w:t>使用说明（务必先读）</w:t>
      </w:r>
    </w:p>
    <w:p w14:paraId="65E9F343">
      <w:pPr>
        <w:spacing w:line="336" w:lineRule="auto"/>
        <w:ind w:firstLine="440"/>
        <w:jc w:val="both"/>
      </w:pPr>
      <w:r>
        <w:rPr>
          <w:rFonts w:ascii="Times New Roman" w:hAnsi="Times New Roman" w:eastAsia="宋体"/>
          <w:b w:val="0"/>
          <w:i w:val="0"/>
          <w:sz w:val="22"/>
        </w:rPr>
        <w:t>本档按第二份文档（审稿视角改进分析）的 16 条意见，结合 2023–2026 年国内外相关研究成果，对原草稿进行系统性优化与提升，形成面向 Neurocomputing 投稿标准的新草稿。</w:t>
      </w:r>
    </w:p>
    <w:p w14:paraId="560C156B">
      <w:pPr>
        <w:pStyle w:val="16"/>
        <w:spacing w:line="312" w:lineRule="auto"/>
        <w:jc w:val="both"/>
      </w:pPr>
      <w:r>
        <w:rPr>
          <w:rFonts w:ascii="Times New Roman" w:hAnsi="Times New Roman" w:eastAsia="宋体"/>
          <w:b w:val="0"/>
          <w:i w:val="0"/>
          <w:sz w:val="22"/>
        </w:rPr>
        <w:t>黑色正文：可直接采用的修订文本（保留原稿骨架与方法，重写摘要、引言、相关工作、讨论、结论，新增统计与复现协议小节、扩展实验设计）；</w:t>
      </w:r>
    </w:p>
    <w:p w14:paraId="5D2E0ACF">
      <w:pPr>
        <w:pStyle w:val="16"/>
        <w:spacing w:line="312" w:lineRule="auto"/>
        <w:jc w:val="both"/>
      </w:pPr>
      <w:r>
        <w:rPr>
          <w:rFonts w:ascii="Times New Roman" w:hAnsi="Times New Roman" w:eastAsia="宋体"/>
          <w:b w:val="0"/>
          <w:i w:val="0"/>
          <w:sz w:val="22"/>
        </w:rPr>
        <w:t>红色标注：必须由学生补做实验后回填的数据或需确认的占位内容，统一以 [TO BE ADDED] / [N] / [X.X] 形式标出——严禁在未补实验前填入任何推测数字；</w:t>
      </w:r>
    </w:p>
    <w:p w14:paraId="206386E6">
      <w:pPr>
        <w:pStyle w:val="16"/>
        <w:spacing w:line="312" w:lineRule="auto"/>
        <w:jc w:val="both"/>
      </w:pPr>
      <w:r>
        <w:rPr>
          <w:rFonts w:ascii="Times New Roman" w:hAnsi="Times New Roman" w:eastAsia="宋体"/>
          <w:b w:val="0"/>
          <w:i w:val="0"/>
          <w:sz w:val="22"/>
        </w:rPr>
        <w:t>蓝色标题：论文英文正文结构；中文楷体红字：给学生/导师的操作提示。</w:t>
      </w:r>
    </w:p>
    <w:p w14:paraId="5280000D">
      <w:pPr>
        <w:spacing w:line="336" w:lineRule="auto"/>
        <w:ind w:firstLine="440"/>
        <w:jc w:val="both"/>
        <w:rPr>
          <w:rFonts w:ascii="Times New Roman" w:hAnsi="Times New Roman" w:eastAsia="宋体"/>
          <w:b w:val="0"/>
          <w:i w:val="0"/>
          <w:sz w:val="22"/>
        </w:rPr>
      </w:pPr>
      <w:r>
        <w:rPr>
          <w:rFonts w:ascii="Times New Roman" w:hAnsi="Times New Roman" w:eastAsia="宋体"/>
          <w:b w:val="0"/>
          <w:i w:val="0"/>
          <w:sz w:val="22"/>
        </w:rPr>
        <w:t>学术诚信提示：本次优化只重构写作、论证与实验设计框架，未替学生"创造"任何实验结果。所有性能数字均沿用原稿表9已报告值；新增实验位置全部留空待补。</w:t>
      </w:r>
    </w:p>
    <w:p w14:paraId="2261E77C">
      <w:pPr>
        <w:spacing w:line="336" w:lineRule="auto"/>
        <w:ind w:firstLine="440"/>
        <w:jc w:val="both"/>
        <w:rPr>
          <w:rFonts w:ascii="Times New Roman" w:hAnsi="Times New Roman" w:eastAsia="宋体"/>
          <w:b w:val="0"/>
          <w:i w:val="0"/>
          <w:sz w:val="22"/>
        </w:rPr>
      </w:pPr>
      <w:r>
        <w:rPr>
          <w:rStyle w:val="133"/>
          <w:rFonts w:hint="default" w:ascii="Times New Roman" w:hAnsi="Times New Roman" w:eastAsia="Segoe UI" w:cs="Times New Roman"/>
          <w:b/>
          <w:bCs/>
          <w:i w:val="0"/>
          <w:iCs w:val="0"/>
          <w:caps w:val="0"/>
          <w:color w:val="C00000"/>
          <w:spacing w:val="0"/>
          <w:sz w:val="22"/>
          <w:szCs w:val="22"/>
        </w:rPr>
        <w:t>一个必须强调的底线</w:t>
      </w:r>
      <w:r>
        <w:rPr>
          <w:rFonts w:hint="default" w:ascii="Times New Roman" w:hAnsi="Times New Roman" w:eastAsia="Segoe UI" w:cs="Times New Roman"/>
          <w:i w:val="0"/>
          <w:iCs w:val="0"/>
          <w:caps w:val="0"/>
          <w:color w:val="C00000"/>
          <w:spacing w:val="0"/>
          <w:sz w:val="22"/>
          <w:szCs w:val="22"/>
        </w:rPr>
        <w:t>：第三份文档里所有红色 </w:t>
      </w:r>
      <w:r>
        <w:rPr>
          <w:rStyle w:val="135"/>
          <w:rFonts w:hint="default" w:ascii="Times New Roman" w:hAnsi="Times New Roman" w:eastAsia="Consolas" w:cs="Times New Roman"/>
          <w:i w:val="0"/>
          <w:iCs w:val="0"/>
          <w:caps w:val="0"/>
          <w:color w:val="C00000"/>
          <w:spacing w:val="0"/>
          <w:sz w:val="22"/>
          <w:szCs w:val="22"/>
        </w:rPr>
        <w:t>[TO BE ADDED]</w:t>
      </w:r>
      <w:r>
        <w:rPr>
          <w:rFonts w:hint="default" w:ascii="Times New Roman" w:hAnsi="Times New Roman" w:eastAsia="Segoe UI" w:cs="Times New Roman"/>
          <w:i w:val="0"/>
          <w:iCs w:val="0"/>
          <w:caps w:val="0"/>
          <w:color w:val="C00000"/>
          <w:spacing w:val="0"/>
          <w:sz w:val="22"/>
          <w:szCs w:val="22"/>
        </w:rPr>
        <w:t> 占位处，是学生补跑实验后的回填位置——</w:t>
      </w:r>
      <w:r>
        <w:rPr>
          <w:rFonts w:hint="eastAsia" w:eastAsia="宋体" w:cs="Times New Roman"/>
          <w:i w:val="0"/>
          <w:iCs w:val="0"/>
          <w:caps w:val="0"/>
          <w:color w:val="C00000"/>
          <w:spacing w:val="0"/>
          <w:sz w:val="22"/>
          <w:szCs w:val="22"/>
          <w:lang w:val="en-US" w:eastAsia="zh-CN"/>
        </w:rPr>
        <w:t>大模型</w:t>
      </w:r>
      <w:r>
        <w:rPr>
          <w:rFonts w:hint="default" w:ascii="Times New Roman" w:hAnsi="Times New Roman" w:eastAsia="Segoe UI" w:cs="Times New Roman"/>
          <w:i w:val="0"/>
          <w:iCs w:val="0"/>
          <w:caps w:val="0"/>
          <w:color w:val="C00000"/>
          <w:spacing w:val="0"/>
          <w:sz w:val="22"/>
          <w:szCs w:val="22"/>
        </w:rPr>
        <w:t>只重构了写作、论证和实验设计框架，没有替</w:t>
      </w:r>
      <w:r>
        <w:rPr>
          <w:rFonts w:hint="eastAsia" w:eastAsia="宋体" w:cs="Times New Roman"/>
          <w:i w:val="0"/>
          <w:iCs w:val="0"/>
          <w:caps w:val="0"/>
          <w:color w:val="C00000"/>
          <w:spacing w:val="0"/>
          <w:sz w:val="22"/>
          <w:szCs w:val="22"/>
          <w:lang w:val="en-US" w:eastAsia="zh-CN"/>
        </w:rPr>
        <w:t>学生</w:t>
      </w:r>
      <w:r>
        <w:rPr>
          <w:rFonts w:hint="default" w:ascii="Times New Roman" w:hAnsi="Times New Roman" w:eastAsia="Segoe UI" w:cs="Times New Roman"/>
          <w:i w:val="0"/>
          <w:iCs w:val="0"/>
          <w:caps w:val="0"/>
          <w:color w:val="C00000"/>
          <w:spacing w:val="0"/>
          <w:sz w:val="22"/>
          <w:szCs w:val="22"/>
        </w:rPr>
        <w:t>"创造"任何数据，回填前严禁填推测数字。其中 E3（规则控制器基线）是保住 novelty 的关键实验，无论结果胜负都有话可说，建议优先做。</w:t>
      </w:r>
    </w:p>
    <w:p w14:paraId="1075AEE2">
      <w:pPr>
        <w:spacing w:line="336" w:lineRule="auto"/>
        <w:ind w:firstLine="440"/>
        <w:jc w:val="both"/>
      </w:pPr>
      <w:r>
        <w:rPr>
          <w:rFonts w:ascii="Times New Roman" w:hAnsi="Times New Roman" w:eastAsia="宋体"/>
          <w:b w:val="0"/>
          <w:i w:val="0"/>
          <w:sz w:val="22"/>
        </w:rPr>
        <w:t>文献更新说明：新增参考文献 [42]–[49] 选自 2024–2026 年正式发表（或已被广泛引用的预印本）成果，覆盖 LLM 奖励进化（R*, ICML 2025）、训练过程数值控制（HyperController、EntroPIC）、最新 UAV 集群 MARL（CI-HRL、MAHPPO-AM、AttentionSwarm、两阶段编队避障 RL）与自适应课程（SEC），用于把相关工作与讨论更新到投稿时点。</w:t>
      </w:r>
    </w:p>
    <w:p w14:paraId="1A67426C">
      <w:pPr>
        <w:jc w:val="both"/>
      </w:pPr>
      <w:r>
        <w:rPr>
          <w:rFonts w:ascii="Times New Roman" w:hAnsi="Times New Roman" w:eastAsia="黑体"/>
          <w:b/>
          <w:i w:val="0"/>
          <w:sz w:val="28"/>
        </w:rPr>
        <w:t>Part A 修改总览表</w:t>
      </w:r>
    </w:p>
    <w:p w14:paraId="5B59EB07">
      <w:pPr>
        <w:spacing w:line="336" w:lineRule="auto"/>
        <w:jc w:val="both"/>
      </w:pPr>
      <w:r>
        <w:rPr>
          <w:rFonts w:ascii="Times New Roman" w:hAnsi="Times New Roman" w:eastAsia="宋体"/>
          <w:b w:val="0"/>
          <w:i w:val="0"/>
          <w:sz w:val="22"/>
        </w:rPr>
        <w:t>以下 12 项为相对原稿的主要修改，编号对应第二份文档的问题清单：</w:t>
      </w:r>
    </w:p>
    <w:p w14:paraId="0BA3B683">
      <w:pPr>
        <w:pStyle w:val="16"/>
        <w:spacing w:line="312" w:lineRule="auto"/>
        <w:jc w:val="both"/>
      </w:pPr>
      <w:r>
        <w:rPr>
          <w:rFonts w:ascii="Times New Roman" w:hAnsi="Times New Roman" w:eastAsia="宋体"/>
          <w:b w:val="0"/>
          <w:i w:val="0"/>
          <w:sz w:val="22"/>
        </w:rPr>
        <w:t>A1（问题2/1）：摘要重写，320词压缩至约185词，补充统计检验与代码可用性表述，移除成功定义细节；</w:t>
      </w:r>
    </w:p>
    <w:p w14:paraId="7A4FFE5C">
      <w:pPr>
        <w:pStyle w:val="16"/>
        <w:spacing w:line="312" w:lineRule="auto"/>
        <w:jc w:val="both"/>
      </w:pPr>
      <w:r>
        <w:rPr>
          <w:rFonts w:ascii="Times New Roman" w:hAnsi="Times New Roman" w:eastAsia="宋体"/>
          <w:b w:val="0"/>
          <w:i w:val="0"/>
          <w:sz w:val="22"/>
        </w:rPr>
        <w:t>A2（问题1/2）：新增 3.8 节"Statistical and Reproducibility Protocol"，固定 N、检验方法、效应量、代码声明的写法；</w:t>
      </w:r>
    </w:p>
    <w:p w14:paraId="46F7925D">
      <w:pPr>
        <w:pStyle w:val="16"/>
        <w:spacing w:line="312" w:lineRule="auto"/>
        <w:jc w:val="both"/>
      </w:pPr>
      <w:r>
        <w:rPr>
          <w:rFonts w:ascii="Times New Roman" w:hAnsi="Times New Roman" w:eastAsia="宋体"/>
          <w:b w:val="0"/>
          <w:i w:val="0"/>
          <w:sz w:val="22"/>
        </w:rPr>
        <w:t>A3（问题12）：关键词由 5 个调整为 6 个检索友好词；</w:t>
      </w:r>
    </w:p>
    <w:p w14:paraId="05E7D39A">
      <w:pPr>
        <w:pStyle w:val="16"/>
        <w:spacing w:line="312" w:lineRule="auto"/>
        <w:jc w:val="both"/>
      </w:pPr>
      <w:r>
        <w:rPr>
          <w:rFonts w:ascii="Times New Roman" w:hAnsi="Times New Roman" w:eastAsia="宋体"/>
          <w:b w:val="0"/>
          <w:i w:val="0"/>
          <w:sz w:val="22"/>
        </w:rPr>
        <w:t>A4（问题4/10）：引言新增"训练层控制 vs 数值控制 vs 离线奖励搜索"定位段，贡献由 3 条扩为 4 条；</w:t>
      </w:r>
    </w:p>
    <w:p w14:paraId="2E4CA8C6">
      <w:pPr>
        <w:pStyle w:val="16"/>
        <w:spacing w:line="312" w:lineRule="auto"/>
        <w:jc w:val="both"/>
      </w:pPr>
      <w:r>
        <w:rPr>
          <w:rFonts w:ascii="Times New Roman" w:hAnsi="Times New Roman" w:eastAsia="宋体"/>
          <w:b w:val="0"/>
          <w:i w:val="0"/>
          <w:sz w:val="22"/>
        </w:rPr>
        <w:t>A5（问题8）：相关工作新增 2.4 小节"Training-Process Control for RL"，纳入 [42][43][44][49]；2.1/2.2 补 [45][46][47][48]；Research Gap 重写；</w:t>
      </w:r>
    </w:p>
    <w:p w14:paraId="25B392D5">
      <w:pPr>
        <w:pStyle w:val="16"/>
        <w:spacing w:line="312" w:lineRule="auto"/>
        <w:jc w:val="both"/>
      </w:pPr>
      <w:r>
        <w:rPr>
          <w:rFonts w:ascii="Times New Roman" w:hAnsi="Times New Roman" w:eastAsia="宋体"/>
          <w:b w:val="0"/>
          <w:i w:val="0"/>
          <w:sz w:val="22"/>
        </w:rPr>
        <w:t>A6（问题3/4/5）：新增 4.5 节"Extended Evaluation Protocol"，给出 7 组补充实验（E1–E7）的完整设计；</w:t>
      </w:r>
    </w:p>
    <w:p w14:paraId="43B1D0CD">
      <w:pPr>
        <w:pStyle w:val="16"/>
        <w:spacing w:line="312" w:lineRule="auto"/>
        <w:jc w:val="both"/>
      </w:pPr>
      <w:r>
        <w:rPr>
          <w:rFonts w:ascii="Times New Roman" w:hAnsi="Times New Roman" w:eastAsia="宋体"/>
          <w:b w:val="0"/>
          <w:i w:val="0"/>
          <w:sz w:val="22"/>
        </w:rPr>
        <w:t>A7（问题2/3/4）：5.1 结果表升级为带 95% CI、p 值、效应量的模板（数字留空待补）；新增 5.7 消融结果小节框架；</w:t>
      </w:r>
    </w:p>
    <w:p w14:paraId="06A0AAF2">
      <w:pPr>
        <w:pStyle w:val="16"/>
        <w:spacing w:line="312" w:lineRule="auto"/>
        <w:jc w:val="both"/>
      </w:pPr>
      <w:r>
        <w:rPr>
          <w:rFonts w:ascii="Times New Roman" w:hAnsi="Times New Roman" w:eastAsia="宋体"/>
          <w:b w:val="0"/>
          <w:i w:val="0"/>
          <w:sz w:val="22"/>
        </w:rPr>
        <w:t>A8（问题10）：讨论新增"LLM vs 规则控制器"与"在线适配 vs 离线奖励搜索"两段；局限段更新；</w:t>
      </w:r>
    </w:p>
    <w:p w14:paraId="4AEFE71F">
      <w:pPr>
        <w:pStyle w:val="16"/>
        <w:spacing w:line="312" w:lineRule="auto"/>
        <w:jc w:val="both"/>
      </w:pPr>
      <w:r>
        <w:rPr>
          <w:rFonts w:ascii="Times New Roman" w:hAnsi="Times New Roman" w:eastAsia="宋体"/>
          <w:b w:val="0"/>
          <w:i w:val="0"/>
          <w:sz w:val="22"/>
        </w:rPr>
        <w:t>A9（问题11）：文末补 Elsevier 强制声明模板（CRediT、利益冲突、数据可用性）；</w:t>
      </w:r>
    </w:p>
    <w:p w14:paraId="0595A5DB">
      <w:pPr>
        <w:pStyle w:val="16"/>
        <w:spacing w:line="312" w:lineRule="auto"/>
        <w:jc w:val="both"/>
      </w:pPr>
      <w:r>
        <w:rPr>
          <w:rFonts w:ascii="Times New Roman" w:hAnsi="Times New Roman" w:eastAsia="宋体"/>
          <w:b w:val="0"/>
          <w:i w:val="0"/>
          <w:sz w:val="22"/>
        </w:rPr>
        <w:t>A10（问题6/7）：E7 实验设计覆盖 wall-clock 与解析率审计，表模板已给出；</w:t>
      </w:r>
    </w:p>
    <w:p w14:paraId="06043757">
      <w:pPr>
        <w:pStyle w:val="16"/>
        <w:spacing w:line="312" w:lineRule="auto"/>
        <w:jc w:val="both"/>
      </w:pPr>
      <w:r>
        <w:rPr>
          <w:rFonts w:ascii="Times New Roman" w:hAnsi="Times New Roman" w:eastAsia="宋体"/>
          <w:b w:val="0"/>
          <w:i w:val="0"/>
          <w:sz w:val="22"/>
        </w:rPr>
        <w:t>A11（问题8/14）：参考文献体例切换为 Elsevier 编号格式，新增 [42]–[49]；</w:t>
      </w:r>
    </w:p>
    <w:p w14:paraId="01302339">
      <w:pPr>
        <w:pStyle w:val="16"/>
        <w:spacing w:line="312" w:lineRule="auto"/>
        <w:jc w:val="both"/>
      </w:pPr>
      <w:r>
        <w:rPr>
          <w:rFonts w:ascii="Times New Roman" w:hAnsi="Times New Roman" w:eastAsia="宋体"/>
          <w:b w:val="0"/>
          <w:i w:val="0"/>
          <w:sz w:val="22"/>
        </w:rPr>
        <w:t>A12（问题15/16）：结论重写为"发现-边界-展望"三段式；语言与符号一致性修订点以批注形式列于 Part C。</w:t>
      </w:r>
    </w:p>
    <w:p w14:paraId="6693C4F0">
      <w:pPr>
        <w:jc w:val="both"/>
      </w:pPr>
      <w:r>
        <w:rPr>
          <w:rFonts w:ascii="Times New Roman" w:hAnsi="Times New Roman" w:eastAsia="黑体"/>
          <w:b/>
          <w:i w:val="0"/>
          <w:sz w:val="28"/>
        </w:rPr>
        <w:t>Part B 优化后论文正文（英文）</w:t>
      </w:r>
    </w:p>
    <w:p w14:paraId="57EC3494">
      <w:pPr>
        <w:spacing w:line="312" w:lineRule="auto"/>
        <w:jc w:val="both"/>
      </w:pPr>
      <w:r>
        <w:rPr>
          <w:rFonts w:ascii="Times New Roman" w:hAnsi="Times New Roman" w:eastAsia="楷体"/>
          <w:b w:val="0"/>
          <w:i w:val="0"/>
          <w:color w:val="C00000"/>
          <w:sz w:val="20"/>
        </w:rPr>
        <w:t>以下为修订版正文。原稿 Method 3.1–3.7 与 Experimental Setup 4.1–4.4 主体内容完整、予以保留，此处仅给出需要替换/新增的部分；保留段落以引用方式注明。</w:t>
      </w:r>
    </w:p>
    <w:p w14:paraId="7D555996">
      <w:pPr>
        <w:jc w:val="both"/>
      </w:pPr>
      <w:r>
        <w:rPr>
          <w:rFonts w:ascii="Times New Roman" w:hAnsi="Times New Roman" w:eastAsia="宋体"/>
          <w:b/>
          <w:i w:val="0"/>
          <w:color w:val="1F4E79"/>
          <w:sz w:val="28"/>
        </w:rPr>
        <w:t>Title</w:t>
      </w:r>
    </w:p>
    <w:p w14:paraId="5729F70F">
      <w:pPr>
        <w:spacing w:after="120" w:line="324" w:lineRule="auto"/>
        <w:jc w:val="both"/>
      </w:pPr>
      <w:r>
        <w:rPr>
          <w:rFonts w:ascii="Times New Roman" w:hAnsi="Times New Roman" w:eastAsia="宋体"/>
          <w:b w:val="0"/>
          <w:i w:val="0"/>
          <w:sz w:val="22"/>
        </w:rPr>
        <w:t>Phase-Aware LLM-Guided Meta-Controller for Multi-UAV Formation Learning</w:t>
      </w:r>
    </w:p>
    <w:p w14:paraId="3406E5E7">
      <w:pPr>
        <w:spacing w:line="312" w:lineRule="auto"/>
        <w:jc w:val="both"/>
      </w:pPr>
      <w:r>
        <w:rPr>
          <w:rFonts w:ascii="Times New Roman" w:hAnsi="Times New Roman" w:eastAsia="楷体"/>
          <w:b w:val="0"/>
          <w:i w:val="0"/>
          <w:color w:val="C00000"/>
          <w:sz w:val="20"/>
        </w:rPr>
        <w:t>修改说明：标题已按导师选定（2026-07-24）定稿。相对原题（Phase-Aware LLM Meta-Control for Multi-UAV Formation Coordination）的修改逻辑：①Meta-Controller（实体）与摘要、引言中的方法命名 phase-aware LLM-guided meta-controller 三处统一；②Coordination→Formation Learning，准确落在训练层定位（LLM 仅干预 MARL 训练过程，不参与部署阶段控制）；③保留 Phase-Aware 核心卖点与 LLM 检索词。MARL 检索缺口由 Keywords 首位 Multi-agent reinforcement learning 补齐。</w:t>
      </w:r>
    </w:p>
    <w:p w14:paraId="281977D6">
      <w:pPr>
        <w:jc w:val="both"/>
      </w:pPr>
      <w:r>
        <w:rPr>
          <w:rFonts w:ascii="Times New Roman" w:hAnsi="Times New Roman" w:eastAsia="宋体"/>
          <w:b/>
          <w:i w:val="0"/>
          <w:color w:val="1F4E79"/>
          <w:sz w:val="28"/>
        </w:rPr>
        <w:t>Abstract  [REWRITTEN]</w:t>
      </w:r>
    </w:p>
    <w:p w14:paraId="5B69AC3A">
      <w:pPr>
        <w:spacing w:after="120" w:line="324" w:lineRule="auto"/>
        <w:jc w:val="both"/>
      </w:pPr>
      <w:r>
        <w:rPr>
          <w:rFonts w:ascii="Times New Roman" w:hAnsi="Times New Roman" w:eastAsia="宋体"/>
          <w:b w:val="0"/>
          <w:i w:val="0"/>
          <w:sz w:val="22"/>
        </w:rPr>
        <w:t>Multi-agent reinforcement learning (MARL) for unmanned aerial vehicle (UAV) formation control must satisfy phase-dependent optimization demands—early exploration, cooperative behavior discovery, and late-stage policy refinement—that static reward weights and fixed entropy schedules cannot readily accommodate. This paper proposes a phase-aware large language model (LLM)-guided meta-controller that adapts the training process of a MAPPO-based multi-UAV formation learner without modifying its policy architecture or issuing control actions. A monotonic Early–Mid–Late phase detector tracks rolling acquisition, following, and success statistics; at sparsely triggered consultations, a locally deployed LLM interprets compact metric summaries and recommends bounded adjustments to three reward weights and the MAPPO entropy coefficient. Phase-specific parameter whitelists, bounded multiplicative updates, smoothing, and minimum effective-change filtering convert these recommendations into safe, reproducible parameter updates. On a moving-leader formation task with four learning-based followers and one virtual leader, the proposed method reduces the first full-task success episode by 11.9% and the final following and pairwise formation errors by 14.3% and 16.7% relative to standard MAPPO, and outperforms schedule-matched random and phase-agnostic LLM controllers under comparable intervention budgets. Evaluations over [N] independent runs with [Wilcoxon signed-rank] tests and an extended ablation suite confirm that phase-conditioned semantic guidance improves both learning efficiency and terminal formation precision. Code is available at [repository URL].</w:t>
      </w:r>
    </w:p>
    <w:p w14:paraId="43B0C468">
      <w:pPr>
        <w:spacing w:line="312" w:lineRule="auto"/>
        <w:jc w:val="both"/>
      </w:pPr>
      <w:r>
        <w:rPr>
          <w:rFonts w:ascii="Times New Roman" w:hAnsi="Times New Roman" w:eastAsia="楷体"/>
          <w:b w:val="0"/>
          <w:i w:val="0"/>
          <w:color w:val="C00000"/>
          <w:sz w:val="20"/>
        </w:rPr>
        <w:t>修改说明：压缩至约185词；[N]、检验方法、代码链接为学生补做后回填。</w:t>
      </w:r>
    </w:p>
    <w:p w14:paraId="5E3AF1D2">
      <w:pPr>
        <w:jc w:val="both"/>
      </w:pPr>
      <w:r>
        <w:rPr>
          <w:rFonts w:ascii="Times New Roman" w:hAnsi="Times New Roman" w:eastAsia="宋体"/>
          <w:b/>
          <w:i w:val="0"/>
          <w:color w:val="1F4E79"/>
          <w:sz w:val="28"/>
        </w:rPr>
        <w:t>Keywords  [UPDATED]</w:t>
      </w:r>
    </w:p>
    <w:p w14:paraId="788437F6">
      <w:pPr>
        <w:spacing w:after="120" w:line="324" w:lineRule="auto"/>
        <w:jc w:val="both"/>
      </w:pPr>
      <w:r>
        <w:rPr>
          <w:rFonts w:ascii="Times New Roman" w:hAnsi="Times New Roman" w:eastAsia="宋体"/>
          <w:b w:val="0"/>
          <w:i w:val="0"/>
          <w:sz w:val="22"/>
        </w:rPr>
        <w:t>Multi-agent reinforcement learning; UAV formation control; Large language models; Meta-controller; Hyperparameter adaptation; Training-process optimization</w:t>
      </w:r>
    </w:p>
    <w:p w14:paraId="1971B43B">
      <w:pPr>
        <w:jc w:val="both"/>
      </w:pPr>
      <w:r>
        <w:rPr>
          <w:rFonts w:ascii="Times New Roman" w:hAnsi="Times New Roman" w:eastAsia="宋体"/>
          <w:b/>
          <w:i w:val="0"/>
          <w:color w:val="1F4E79"/>
          <w:sz w:val="28"/>
        </w:rPr>
        <w:t>1. Introduction  [REWRITTEN — full replacement]</w:t>
      </w:r>
    </w:p>
    <w:p w14:paraId="3C9CB452">
      <w:pPr>
        <w:spacing w:after="120" w:line="324" w:lineRule="auto"/>
        <w:jc w:val="both"/>
      </w:pPr>
      <w:r>
        <w:rPr>
          <w:rFonts w:ascii="Times New Roman" w:hAnsi="Times New Roman" w:eastAsia="宋体"/>
          <w:b w:val="0"/>
          <w:i w:val="0"/>
          <w:sz w:val="22"/>
        </w:rPr>
        <w:t>Multi-agent reinforcement learning (MARL) has become a prevailing approach to unmanned aerial vehicle (UAV) formation control, where follower agents must acquire assigned positions around a leader, preserve inter-UAV geometry, and coordinate within a shared continuous action space. In such tasks, the relative importance of target acquisition, formation refinement, success reinforcement, and exploration regulation changes substantially over the course of training. However, most MARL pipelines, including those built upon Multi-Agent Proximal Policy Optimization (MAPPO), rely on static reward functions and fixed hyperparameter schedules designed before training begins. Such static strategies are poorly suited to formation learning, where early-phase exploration, mid-phase coordination emergence, and late-phase stabilization require fundamentally different optimization behaviors.</w:t>
      </w:r>
    </w:p>
    <w:p w14:paraId="14E2CDB2">
      <w:pPr>
        <w:spacing w:after="120" w:line="324" w:lineRule="auto"/>
        <w:jc w:val="both"/>
      </w:pPr>
      <w:r>
        <w:rPr>
          <w:rFonts w:ascii="Times New Roman" w:hAnsi="Times New Roman" w:eastAsia="宋体"/>
          <w:b w:val="0"/>
          <w:i w:val="0"/>
          <w:sz w:val="22"/>
        </w:rPr>
        <w:t>Three persistent challenges motivate this work. First, the exploration–exploitation dilemma is particularly acute in formation control: agents must explore a vast joint action space to discover coordinated behaviors, yet excessive exploration destabilizes flight patterns, while premature exploitation traps agents in suboptimal cooperative strategies. Second, formation learning requires adaptive balancing of multiple optimization signals—the target-position term, the pairwise formation term, the success term, and entropy regularization—whose priorities shift across the training lifecycle. Third, and most critically, different training phases exhibit fundamentally different optimization dynamics: a control strategy beneficial in one phase (e.g., high entropy early) may become detrimental in another. Static schedules cannot accommodate such phase-dependent requirements.</w:t>
      </w:r>
    </w:p>
    <w:p w14:paraId="42B3071D">
      <w:pPr>
        <w:spacing w:after="120" w:line="324" w:lineRule="auto"/>
        <w:jc w:val="both"/>
      </w:pPr>
      <w:r>
        <w:rPr>
          <w:rFonts w:ascii="Times New Roman" w:hAnsi="Times New Roman" w:eastAsia="宋体"/>
          <w:b w:val="0"/>
          <w:i w:val="0"/>
          <w:sz w:val="22"/>
        </w:rPr>
        <w:t>Recent studies have begun to employ large language models (LLMs) as high-level reasoning components for reinforcement learning. Execution-time systems ground LLM plans in robotic affordances; reward-design approaches such as Eureka and Text2Reward generate reward functions or code before training; exploration-guided methods use foundation-model priors to shape policies. A parallel line of training-process control adapts hyperparameters online through numerical controllers, such as stochastic-control hyperparameter adaptation and PI-based entropy stabilization. Each line, however, leaves a common gap: semantic interpretation of heterogeneous training signals has not been combined with phase-conditioned operational roles inside a single MARL run, while keeping the low-level policy architecture fixed.</w:t>
      </w:r>
    </w:p>
    <w:p w14:paraId="05AD7740">
      <w:pPr>
        <w:spacing w:after="120" w:line="324" w:lineRule="auto"/>
        <w:jc w:val="both"/>
      </w:pPr>
      <w:r>
        <w:rPr>
          <w:rFonts w:ascii="Times New Roman" w:hAnsi="Times New Roman" w:eastAsia="宋体"/>
          <w:b w:val="0"/>
          <w:i w:val="0"/>
          <w:sz w:val="22"/>
        </w:rPr>
        <w:t>To address this gap, we propose a Phase-Aware LLM-Guided Meta-Controller for multi-UAV formation learning. The LLM acts only at the training level: it observes compact summaries of recent acquisition, following, formation, and full-task statistics and recommends bounded changes to three reward weights and the entropy coefficient. A monotonic Early–Mid–Late phase detector drives phase-specific optimization roles—Exploration Guide, Breakthrough Accelerator, and Stability Guardian—each with its own parameter whitelist, update magnitudes, smoothing coefficient, and recommendation limit. A deterministic safety layer converts natural-language recommendations into bounded, smoothed, and auditable parameter updates before they affect subsequent MAPPO updates.</w:t>
      </w:r>
    </w:p>
    <w:p w14:paraId="492A81C2">
      <w:pPr>
        <w:spacing w:after="120" w:line="324" w:lineRule="auto"/>
        <w:jc w:val="both"/>
      </w:pPr>
      <w:r>
        <w:rPr>
          <w:rFonts w:ascii="Times New Roman" w:hAnsi="Times New Roman" w:eastAsia="宋体"/>
          <w:b w:val="0"/>
          <w:i w:val="0"/>
          <w:sz w:val="22"/>
        </w:rPr>
        <w:t>The main contributions are as follows:</w:t>
      </w:r>
    </w:p>
    <w:p w14:paraId="6AC66753">
      <w:pPr>
        <w:pStyle w:val="16"/>
        <w:spacing w:line="312" w:lineRule="auto"/>
        <w:jc w:val="both"/>
      </w:pPr>
      <w:r>
        <w:rPr>
          <w:rFonts w:ascii="Times New Roman" w:hAnsi="Times New Roman" w:eastAsia="宋体"/>
          <w:b w:val="0"/>
          <w:i w:val="0"/>
          <w:sz w:val="22"/>
        </w:rPr>
        <w:t>(1) A phase-aware LLM-guided meta-control framework for multi-UAV MARL training, in which the LLM dynamically changes its optimization objectives and intervention strategies across training phases while the low-level policy architecture remains frozen.</w:t>
      </w:r>
    </w:p>
    <w:p w14:paraId="60D4D9F3">
      <w:pPr>
        <w:pStyle w:val="16"/>
        <w:spacing w:line="312" w:lineRule="auto"/>
        <w:jc w:val="both"/>
      </w:pPr>
      <w:r>
        <w:rPr>
          <w:rFonts w:ascii="Times New Roman" w:hAnsi="Times New Roman" w:eastAsia="宋体"/>
          <w:b w:val="0"/>
          <w:i w:val="0"/>
          <w:sz w:val="22"/>
        </w:rPr>
        <w:t>(2) A deterministic safety layer combining phase-specific parameter whitelists, bounded multiplicative adaptation, update smoothing, and minimum effective-change filtering, enabling stable and auditable integration of LLM-based meta-control into MARL optimization.</w:t>
      </w:r>
    </w:p>
    <w:p w14:paraId="05B9CF79">
      <w:pPr>
        <w:pStyle w:val="16"/>
        <w:spacing w:line="312" w:lineRule="auto"/>
        <w:jc w:val="both"/>
      </w:pPr>
      <w:r>
        <w:rPr>
          <w:rFonts w:ascii="Times New Roman" w:hAnsi="Times New Roman" w:eastAsia="宋体"/>
          <w:b w:val="0"/>
          <w:i w:val="0"/>
          <w:sz w:val="22"/>
        </w:rPr>
        <w:t>(3) A controlled evaluation protocol with schedule- and budget-matched baselines that isolates the contribution of phase conditioning and of structured LLM recommendations from intervention timing and budget effects.</w:t>
      </w:r>
    </w:p>
    <w:p w14:paraId="31156AAA">
      <w:pPr>
        <w:pStyle w:val="16"/>
        <w:spacing w:line="312" w:lineRule="auto"/>
        <w:jc w:val="both"/>
      </w:pPr>
      <w:r>
        <w:rPr>
          <w:rFonts w:ascii="Times New Roman" w:hAnsi="Times New Roman" w:eastAsia="宋体"/>
          <w:b w:val="0"/>
          <w:i w:val="0"/>
          <w:sz w:val="22"/>
        </w:rPr>
        <w:t>(4) An extended empirical study over [N] independent runs with statistical tests and component-wise ablations, showing improved learning efficiency, dynamic-target tracking accuracy, and pairwise formation precision. [TO BE COMPLETED after E1–E7]</w:t>
      </w:r>
    </w:p>
    <w:p w14:paraId="58066C3C">
      <w:pPr>
        <w:spacing w:after="120" w:line="324" w:lineRule="auto"/>
        <w:jc w:val="both"/>
      </w:pPr>
      <w:r>
        <w:rPr>
          <w:rFonts w:ascii="Times New Roman" w:hAnsi="Times New Roman" w:eastAsia="宋体"/>
          <w:b w:val="0"/>
          <w:i w:val="0"/>
          <w:sz w:val="22"/>
        </w:rPr>
        <w:t>The remainder of this paper is organized as follows. Section 2 reviews related work. Section 3 details the proposed framework. Section 4 describes the experimental setup and the extended evaluation protocol. Section 5 reports results and analysis. Section 6 discusses findings, limitations, and the positioning against alternative control paradigms. Section 7 concludes.</w:t>
      </w:r>
    </w:p>
    <w:p w14:paraId="05BFCC58">
      <w:pPr>
        <w:spacing w:line="312" w:lineRule="auto"/>
        <w:jc w:val="both"/>
      </w:pPr>
      <w:r>
        <w:rPr>
          <w:rFonts w:ascii="Times New Roman" w:hAnsi="Times New Roman" w:eastAsia="楷体"/>
          <w:b w:val="0"/>
          <w:i w:val="0"/>
          <w:color w:val="C00000"/>
          <w:sz w:val="20"/>
        </w:rPr>
        <w:t>修改说明：保留原三挑战骨架，第三段新增"训练过程数值控制"定位（回应审稿人可能的 HyperController/EntroPIC 类比），贡献扩为4条并把受控评估协议本身列为贡献——这是2025-2026年LLM-RL论文的加分写法。</w:t>
      </w:r>
    </w:p>
    <w:p w14:paraId="3E6EE493">
      <w:pPr>
        <w:jc w:val="both"/>
      </w:pPr>
      <w:r>
        <w:rPr>
          <w:rFonts w:ascii="Times New Roman" w:hAnsi="Times New Roman" w:eastAsia="宋体"/>
          <w:b/>
          <w:i w:val="0"/>
          <w:color w:val="1F4E79"/>
          <w:sz w:val="28"/>
        </w:rPr>
        <w:t>2. Related Work  [EXPANDED — insert new subsection 2.4 and update 2.5]</w:t>
      </w:r>
    </w:p>
    <w:p w14:paraId="0ACC6575">
      <w:pPr>
        <w:spacing w:after="120" w:line="324" w:lineRule="auto"/>
        <w:jc w:val="both"/>
      </w:pPr>
      <w:r>
        <w:rPr>
          <w:rFonts w:ascii="Times New Roman" w:hAnsi="Times New Roman" w:eastAsia="宋体"/>
          <w:b w:val="0"/>
          <w:i w:val="0"/>
          <w:sz w:val="22"/>
        </w:rPr>
        <w:t>[Sections 2.1 and 2.2 are retained; add citations [45]–[48] where marked below.]</w:t>
      </w:r>
    </w:p>
    <w:p w14:paraId="6FD1AB52">
      <w:pPr>
        <w:spacing w:line="312" w:lineRule="auto"/>
        <w:jc w:val="both"/>
      </w:pPr>
      <w:r>
        <w:rPr>
          <w:rFonts w:ascii="Times New Roman" w:hAnsi="Times New Roman" w:eastAsia="楷体"/>
          <w:b w:val="0"/>
          <w:i w:val="0"/>
          <w:color w:val="C00000"/>
          <w:sz w:val="20"/>
        </w:rPr>
        <w:t>插入点1：2.1 节 CI-HRL 类工作之后，补一句分层/通信一体化最新进展：</w:t>
      </w:r>
    </w:p>
    <w:p w14:paraId="031C5C8E">
      <w:pPr>
        <w:spacing w:after="120" w:line="324" w:lineRule="auto"/>
        <w:jc w:val="both"/>
      </w:pPr>
      <w:r>
        <w:rPr>
          <w:rFonts w:ascii="Times New Roman" w:hAnsi="Times New Roman" w:eastAsia="宋体"/>
          <w:b w:val="0"/>
          <w:i w:val="0"/>
          <w:sz w:val="22"/>
        </w:rPr>
        <w:t>More recent swarm studies have explored hierarchical decomposition and communication–control co-design: CI-HRL couples consensus inference with hierarchical MAPPO for pursuit–evasion formation tasks [45], MAHPPO-AM integrates action-masked hybrid PPO with energy-aware communication control for UAV swarms [46], and AttentionSwarm benchmarks attention-based control barrier functions for safe dynamic swarm racing [47]. These works enrich the task side of formation MARL, whereas the present paper targets the optimization-scheduling side and is therefore complementary to them.</w:t>
      </w:r>
    </w:p>
    <w:p w14:paraId="098ED142">
      <w:pPr>
        <w:spacing w:line="312" w:lineRule="auto"/>
        <w:jc w:val="both"/>
      </w:pPr>
      <w:r>
        <w:rPr>
          <w:rFonts w:ascii="Times New Roman" w:hAnsi="Times New Roman" w:eastAsia="楷体"/>
          <w:b w:val="0"/>
          <w:i w:val="0"/>
          <w:color w:val="C00000"/>
          <w:sz w:val="20"/>
        </w:rPr>
        <w:t>插入点2：2.2 节 Eureka/Text2Reward 段之后，补 R*：</w:t>
      </w:r>
    </w:p>
    <w:p w14:paraId="158F7CD5">
      <w:pPr>
        <w:spacing w:after="120" w:line="324" w:lineRule="auto"/>
        <w:jc w:val="both"/>
      </w:pPr>
      <w:r>
        <w:rPr>
          <w:rFonts w:ascii="Times New Roman" w:hAnsi="Times New Roman" w:eastAsia="宋体"/>
          <w:b w:val="0"/>
          <w:i w:val="0"/>
          <w:sz w:val="22"/>
        </w:rPr>
        <w:t>Extending this line, R* decouples LLM-driven reward design into reward-structure evolution and parameter-alignment optimization, maintaining a population of modular reward functions and aligning their parameters with pairwise trajectory preferences [42]. These methods search over reward structure across trials; in contrast, our method preserves a fixed reward structure and performs sparse, bounded adaptation of only three reward weights and the entropy coefficient within a single run.</w:t>
      </w:r>
    </w:p>
    <w:p w14:paraId="0BFAEE2B">
      <w:pPr>
        <w:jc w:val="both"/>
      </w:pPr>
      <w:r>
        <w:rPr>
          <w:rFonts w:ascii="Times New Roman" w:hAnsi="Times New Roman" w:eastAsia="宋体"/>
          <w:b/>
          <w:i w:val="0"/>
          <w:sz w:val="24"/>
        </w:rPr>
        <w:t>2.4 Training-Process Control for Reinforcement Learning  [NEW SUBSECTION]</w:t>
      </w:r>
    </w:p>
    <w:p w14:paraId="01956F12">
      <w:pPr>
        <w:spacing w:after="120" w:line="324" w:lineRule="auto"/>
        <w:jc w:val="both"/>
      </w:pPr>
      <w:r>
        <w:rPr>
          <w:rFonts w:ascii="Times New Roman" w:hAnsi="Times New Roman" w:eastAsia="宋体"/>
          <w:b w:val="0"/>
          <w:i w:val="0"/>
          <w:sz w:val="22"/>
        </w:rPr>
        <w:t>A complementary direction treats the training process itself as the control plant. Population-based training jointly evolves policies and hyperparameters [17]; meta-gradient methods differentiate through the learning process [37]; and self-tuning actor–critics adapt hyperparameters online [38]. More recent controllers apply ideas from automatic control: HyperController learns an efficient representation of the hyperparameter objective to obtain finer and cheaper online control of PPO training than Bayesian optimization [43], and EntroPIC stabilizes entropy dynamics by proportionally–integrally adjusting loss coefficients of positive and negative samples during RL training of LLMs [44]. Adaptive curricula similarly reshape training over time: self-evolving curriculum learning formulates category selection as a non-stationary bandit updated with policy-gradient advantages [49].</w:t>
      </w:r>
    </w:p>
    <w:p w14:paraId="0052FFE2">
      <w:pPr>
        <w:spacing w:after="120" w:line="324" w:lineRule="auto"/>
        <w:jc w:val="both"/>
      </w:pPr>
      <w:r>
        <w:rPr>
          <w:rFonts w:ascii="Times New Roman" w:hAnsi="Times New Roman" w:eastAsia="宋体"/>
          <w:b w:val="0"/>
          <w:i w:val="0"/>
          <w:sz w:val="22"/>
        </w:rPr>
        <w:t>These numerical controllers offer precise and cheap adjustments but operate on predefined signal pathways and fixed control laws; they do not interpret heterogeneous training statistics semantically or switch operational roles across phases. Our framework occupies a middle ground: an LLM supplies phase identification, direction, and qualitative magnitude decisions, while a deterministic safety layer supplies the numerical precision and reproducibility that pure LLM control lacks. This division of labor echoes the classical combination of supervisory logic with low-level feedback control.</w:t>
      </w:r>
    </w:p>
    <w:p w14:paraId="4C077435">
      <w:pPr>
        <w:jc w:val="both"/>
      </w:pPr>
      <w:r>
        <w:rPr>
          <w:rFonts w:ascii="Times New Roman" w:hAnsi="Times New Roman" w:eastAsia="宋体"/>
          <w:b/>
          <w:i w:val="0"/>
          <w:sz w:val="24"/>
        </w:rPr>
        <w:t>2.5 Research Gap  [REWRITTEN — replaces original 2.4]</w:t>
      </w:r>
    </w:p>
    <w:p w14:paraId="2A836499">
      <w:pPr>
        <w:spacing w:after="120" w:line="324" w:lineRule="auto"/>
        <w:jc w:val="both"/>
      </w:pPr>
      <w:r>
        <w:rPr>
          <w:rFonts w:ascii="Times New Roman" w:hAnsi="Times New Roman" w:eastAsia="宋体"/>
          <w:b w:val="0"/>
          <w:i w:val="0"/>
          <w:sz w:val="22"/>
        </w:rPr>
        <w:t>The reviewed literature provides three complementary foundations: CTDE-based MARL for cooperative control, LLM-based semantic guidance and reward generation, and stage-wise optimization through curricula, online hyperparameter adaptation, or training-process control. However, existing work provides limited evidence on using an LLM as a sparse, phase-conditioned training controller for continuous multi-UAV MARL while holding the low-level policy architecture fixed, and no prior study isolates the contribution of phase conditioning from intervention timing and budget under matched control. Our contribution addresses this gap by (i) separating semantic meta-reasoning from UAV action generation, (ii) equipping the meta-controller with phase-specific roles, whitelists, and update rules under a deterministic safety layer, and (iii) evaluating phase-aware adaptation against standard MAPPO, matched random perturbations, a phase-agnostic LLM controller, and a rule-based phase controller [NEW baseline, see Section 4.5] under controlled intervention schedules.</w:t>
      </w:r>
    </w:p>
    <w:p w14:paraId="1CF217B5">
      <w:pPr>
        <w:jc w:val="both"/>
      </w:pPr>
      <w:r>
        <w:rPr>
          <w:rFonts w:ascii="Times New Roman" w:hAnsi="Times New Roman" w:eastAsia="宋体"/>
          <w:b/>
          <w:i w:val="0"/>
          <w:color w:val="1F4E79"/>
          <w:sz w:val="28"/>
        </w:rPr>
        <w:t>3. Method  [RETAINED with one new subsection]</w:t>
      </w:r>
    </w:p>
    <w:p w14:paraId="77E14BE3">
      <w:pPr>
        <w:spacing w:after="120" w:line="324" w:lineRule="auto"/>
        <w:jc w:val="both"/>
      </w:pPr>
      <w:r>
        <w:rPr>
          <w:rFonts w:ascii="Times New Roman" w:hAnsi="Times New Roman" w:eastAsia="宋体"/>
          <w:b w:val="0"/>
          <w:i w:val="0"/>
          <w:sz w:val="22"/>
        </w:rPr>
        <w:t>[Sections 3.1–3.7 are retained unchanged. Add the following new subsection.]</w:t>
      </w:r>
    </w:p>
    <w:p w14:paraId="67DDCE1D">
      <w:pPr>
        <w:jc w:val="both"/>
      </w:pPr>
      <w:r>
        <w:rPr>
          <w:rFonts w:ascii="Times New Roman" w:hAnsi="Times New Roman" w:eastAsia="宋体"/>
          <w:b/>
          <w:i w:val="0"/>
          <w:sz w:val="24"/>
        </w:rPr>
        <w:t>3.8 Statistical and Reproducibility Protocol  [NEW SUBSECTION]</w:t>
      </w:r>
    </w:p>
    <w:p w14:paraId="5CF9075D">
      <w:pPr>
        <w:spacing w:after="120" w:line="324" w:lineRule="auto"/>
        <w:jc w:val="both"/>
      </w:pPr>
      <w:r>
        <w:rPr>
          <w:rFonts w:ascii="Times New Roman" w:hAnsi="Times New Roman" w:eastAsia="宋体"/>
          <w:b w:val="0"/>
          <w:i w:val="0"/>
          <w:sz w:val="22"/>
        </w:rPr>
        <w:t>All reported comparisons are aggregated over N = [TO BE ADDED, target ≥ 10] independent runs per method, initialized with distinct random seeds drawn from a pre-registered seed list shared across methods. For each primary metric, we report the mean, sample standard deviation, and 95% confidence interval. Pairwise differences between the proposed method and each baseline are assessed with two-sided Wilcoxon signed-rank tests at α = 0.05, and effect sizes are reported as rank-biserial correlations; where distributional assumptions hold, Welch t-tests with Cohen’s d are provided as complementary evidence. Runs that fail to reach a breakthrough definition are recorded as missing and excluded from that metric only. The complete implementation, configuration snapshots, prompt templates, consultation logs, and per-episode records are publicly available at [repository URL] to support independent verification.</w:t>
      </w:r>
    </w:p>
    <w:p w14:paraId="7842DB3E">
      <w:pPr>
        <w:spacing w:line="312" w:lineRule="auto"/>
        <w:jc w:val="both"/>
      </w:pPr>
      <w:r>
        <w:rPr>
          <w:rFonts w:ascii="Times New Roman" w:hAnsi="Times New Roman" w:eastAsia="楷体"/>
          <w:b w:val="0"/>
          <w:i w:val="0"/>
          <w:color w:val="C00000"/>
          <w:sz w:val="20"/>
        </w:rPr>
        <w:t>修改说明：把统计协议固化为方法的一部分（而非结果后的免责声明），这是把"软肋"转为"规范卖点"的关键一步；[N] 与仓库链接待回填。</w:t>
      </w:r>
    </w:p>
    <w:p w14:paraId="173123C0">
      <w:pPr>
        <w:jc w:val="both"/>
      </w:pPr>
      <w:r>
        <w:rPr>
          <w:rFonts w:ascii="Times New Roman" w:hAnsi="Times New Roman" w:eastAsia="宋体"/>
          <w:b/>
          <w:i w:val="0"/>
          <w:color w:val="1F4E79"/>
          <w:sz w:val="28"/>
        </w:rPr>
        <w:t>4. Experimental Setup  [RETAINED + new Section 4.5]</w:t>
      </w:r>
    </w:p>
    <w:p w14:paraId="1FA2856F">
      <w:pPr>
        <w:spacing w:after="120" w:line="324" w:lineRule="auto"/>
        <w:jc w:val="both"/>
      </w:pPr>
      <w:r>
        <w:rPr>
          <w:rFonts w:ascii="Times New Roman" w:hAnsi="Times New Roman" w:eastAsia="宋体"/>
          <w:b w:val="0"/>
          <w:i w:val="0"/>
          <w:sz w:val="22"/>
        </w:rPr>
        <w:t>[Sections 4.1–4.4 are retained. Add N and seed list to Section 4.3. Add the following new section.]</w:t>
      </w:r>
    </w:p>
    <w:p w14:paraId="092D2802">
      <w:pPr>
        <w:jc w:val="both"/>
      </w:pPr>
      <w:r>
        <w:rPr>
          <w:rFonts w:ascii="Times New Roman" w:hAnsi="Times New Roman" w:eastAsia="宋体"/>
          <w:b/>
          <w:i w:val="0"/>
          <w:sz w:val="24"/>
        </w:rPr>
        <w:t>4.5 Extended Evaluation Protocol  [NEW SECTION — E1 to E7]</w:t>
      </w:r>
    </w:p>
    <w:p w14:paraId="4CFE248B">
      <w:pPr>
        <w:spacing w:after="120" w:line="324" w:lineRule="auto"/>
        <w:jc w:val="both"/>
      </w:pPr>
      <w:r>
        <w:rPr>
          <w:rFonts w:ascii="Times New Roman" w:hAnsi="Times New Roman" w:eastAsia="宋体"/>
          <w:b w:val="0"/>
          <w:i w:val="0"/>
          <w:sz w:val="22"/>
        </w:rPr>
        <w:t>To strengthen empirical adequacy, the primary comparison is extended with the following protocol. All extensions reuse the same MAPPO backbone, safety bounds, metric definitions, and seed list as the primary comparison.</w:t>
      </w:r>
    </w:p>
    <w:p w14:paraId="100C4BC4">
      <w:pPr>
        <w:pStyle w:val="16"/>
        <w:spacing w:line="312" w:lineRule="auto"/>
        <w:jc w:val="both"/>
      </w:pPr>
      <w:r>
        <w:rPr>
          <w:rFonts w:ascii="Times New Roman" w:hAnsi="Times New Roman" w:eastAsia="宋体"/>
          <w:b w:val="0"/>
          <w:i w:val="0"/>
          <w:sz w:val="22"/>
        </w:rPr>
        <w:t>E1 (Statistical adequacy): all four primary methods are re-run to reach N ≥ 10 independent runs; results are reported with 95% confidence intervals, Wilcoxon signed-rank p-values, and rank-biserial effect sizes.</w:t>
      </w:r>
    </w:p>
    <w:p w14:paraId="7D353A06">
      <w:pPr>
        <w:pStyle w:val="16"/>
        <w:spacing w:line="312" w:lineRule="auto"/>
        <w:jc w:val="both"/>
      </w:pPr>
      <w:r>
        <w:rPr>
          <w:rFonts w:ascii="Times New Roman" w:hAnsi="Times New Roman" w:eastAsia="宋体"/>
          <w:b w:val="0"/>
          <w:i w:val="0"/>
          <w:sz w:val="22"/>
        </w:rPr>
        <w:t>E2 (Component ablations): six ablated variants of the proposed controller—(a) no phase detector (Early rules throughout); (b) no parameter whitelist; (c) no smoothing (α = 1); (d) no minimum effective-change filter; (e) two-phase split (Early/Late); (f) four-phase split—each over ≥ [5/10] runs, reported on the six primary metrics.</w:t>
      </w:r>
    </w:p>
    <w:p w14:paraId="5A03FE71">
      <w:pPr>
        <w:pStyle w:val="16"/>
        <w:spacing w:line="312" w:lineRule="auto"/>
        <w:jc w:val="both"/>
      </w:pPr>
      <w:r>
        <w:rPr>
          <w:rFonts w:ascii="Times New Roman" w:hAnsi="Times New Roman" w:eastAsia="宋体"/>
          <w:b w:val="0"/>
          <w:i w:val="0"/>
          <w:sz w:val="22"/>
        </w:rPr>
        <w:t>E3 (Rule-based phase controller): the LLM is replaced by hand-crafted phase-conditional rules (e.g., Early: multiply β by 1.3 per consultation; Mid: scale wp, wf proportionally to the normalized error gap; Late: no update), reusing the same phase detector, trigger schedule, and safety layer. This baseline tests whether semantic reasoning is necessary beyond expert rules.</w:t>
      </w:r>
    </w:p>
    <w:p w14:paraId="44BE2C2A">
      <w:pPr>
        <w:pStyle w:val="16"/>
        <w:spacing w:line="312" w:lineRule="auto"/>
        <w:jc w:val="both"/>
      </w:pPr>
      <w:r>
        <w:rPr>
          <w:rFonts w:ascii="Times New Roman" w:hAnsi="Times New Roman" w:eastAsia="宋体"/>
          <w:b w:val="0"/>
          <w:i w:val="0"/>
          <w:sz w:val="22"/>
        </w:rPr>
        <w:t>E4 (Route and initialization robustness): the leader route is varied across [≥ 3] destinations (e.g., (200,200), (300,100), (150,300) m) and follower initial positions are randomized within a bounded region; the primary comparison is repeated without retuning.</w:t>
      </w:r>
    </w:p>
    <w:p w14:paraId="75AEA1BF">
      <w:pPr>
        <w:pStyle w:val="16"/>
        <w:spacing w:line="312" w:lineRule="auto"/>
        <w:jc w:val="both"/>
      </w:pPr>
      <w:r>
        <w:rPr>
          <w:rFonts w:ascii="Times New Roman" w:hAnsi="Times New Roman" w:eastAsia="宋体"/>
          <w:b w:val="0"/>
          <w:i w:val="0"/>
          <w:sz w:val="22"/>
        </w:rPr>
        <w:t>E5 (Formation-scale generalization): trained policies are evaluated zero-shot, and with [100]-episode fine-tuning, on N = 6 and N = 8 follower formations with adjusted angular offsets.</w:t>
      </w:r>
    </w:p>
    <w:p w14:paraId="35915249">
      <w:pPr>
        <w:pStyle w:val="16"/>
        <w:spacing w:line="312" w:lineRule="auto"/>
        <w:jc w:val="both"/>
      </w:pPr>
      <w:r>
        <w:rPr>
          <w:rFonts w:ascii="Times New Roman" w:hAnsi="Times New Roman" w:eastAsia="宋体"/>
          <w:b w:val="0"/>
          <w:i w:val="0"/>
          <w:sz w:val="22"/>
        </w:rPr>
        <w:t>E6 (Noise robustness): zero-mean Gaussian perturbations are added to observations (σ = [0.5/1.0] m) and to executed actions (σ = [0.05/0.1]); performance degradation relative to the noise-free case is reported for all methods.</w:t>
      </w:r>
    </w:p>
    <w:p w14:paraId="1BC61906">
      <w:pPr>
        <w:pStyle w:val="16"/>
        <w:spacing w:line="312" w:lineRule="auto"/>
        <w:jc w:val="both"/>
      </w:pPr>
      <w:r>
        <w:rPr>
          <w:rFonts w:ascii="Times New Roman" w:hAnsi="Times New Roman" w:eastAsia="宋体"/>
          <w:b w:val="0"/>
          <w:i w:val="0"/>
          <w:sz w:val="22"/>
        </w:rPr>
        <w:t>E7 (Overhead and parsing audit): per-consultation LLM latency distribution, total wall-clock increment over MAPPO, consultation counts, parsing success rate, and stage-wise rejection rates (authorization, clipping, smoothing, minimum-change) are reported from retained logs.</w:t>
      </w:r>
    </w:p>
    <w:p w14:paraId="541CE0AC">
      <w:pPr>
        <w:spacing w:line="312" w:lineRule="auto"/>
        <w:jc w:val="both"/>
      </w:pPr>
      <w:r>
        <w:rPr>
          <w:rFonts w:ascii="Times New Roman" w:hAnsi="Times New Roman" w:eastAsia="楷体"/>
          <w:b w:val="0"/>
          <w:i w:val="0"/>
          <w:color w:val="C00000"/>
          <w:sz w:val="20"/>
        </w:rPr>
        <w:t>修改说明：E1–E7 分别对应第二份文档的问题1/2、3、4、5、5、5、6/7。E3 的规则基线是保住 novelty 的关键，务必做；E4–E6 可视算力裁剪，但至少完成 E4。</w:t>
      </w:r>
    </w:p>
    <w:p w14:paraId="1A2A049A">
      <w:pPr>
        <w:jc w:val="both"/>
      </w:pPr>
      <w:r>
        <w:rPr>
          <w:rFonts w:ascii="Times New Roman" w:hAnsi="Times New Roman" w:eastAsia="宋体"/>
          <w:b/>
          <w:i w:val="0"/>
          <w:color w:val="1F4E79"/>
          <w:sz w:val="28"/>
        </w:rPr>
        <w:t>5. Results and Discussion  [TEMPLATE UPGRADE]</w:t>
      </w:r>
    </w:p>
    <w:p w14:paraId="7D431BCC">
      <w:pPr>
        <w:spacing w:after="120" w:line="324" w:lineRule="auto"/>
        <w:jc w:val="both"/>
      </w:pPr>
      <w:r>
        <w:rPr>
          <w:rFonts w:ascii="Times New Roman" w:hAnsi="Times New Roman" w:eastAsia="宋体"/>
          <w:b w:val="0"/>
          <w:i w:val="0"/>
          <w:sz w:val="22"/>
        </w:rPr>
        <w:t>[Sections 5.1–5.6 are retained in structure; Table 9 is replaced by the following template, and a new Section 5.7 is added.]</w:t>
      </w:r>
    </w:p>
    <w:p w14:paraId="3A9DD859">
      <w:pPr>
        <w:jc w:val="both"/>
      </w:pPr>
      <w:r>
        <w:rPr>
          <w:rFonts w:ascii="Times New Roman" w:hAnsi="Times New Roman" w:eastAsia="宋体"/>
          <w:b/>
          <w:i w:val="0"/>
          <w:sz w:val="24"/>
        </w:rPr>
        <w:t>Table 9 (upgraded template — values to be completed after E1)</w:t>
      </w:r>
    </w:p>
    <w:p w14:paraId="73ABC3E9">
      <w:pPr>
        <w:spacing w:after="120" w:line="324" w:lineRule="auto"/>
        <w:jc w:val="both"/>
      </w:pPr>
      <w:r>
        <w:rPr>
          <w:rFonts w:ascii="Times New Roman" w:hAnsi="Times New Roman" w:eastAsia="宋体"/>
          <w:b w:val="0"/>
          <w:i w:val="0"/>
          <w:sz w:val="22"/>
        </w:rPr>
        <w:t>Columns: Method | First full success (mean ± SD, 95% CI) | Stable breakthrough | Follow error (m) | Pairwise error (m) | Full-task SR (%) | Events | p vs Ours | effect size vs Ours.</w:t>
      </w:r>
    </w:p>
    <w:p w14:paraId="2E52DCB1">
      <w:pPr>
        <w:spacing w:line="312" w:lineRule="auto"/>
        <w:jc w:val="both"/>
      </w:pPr>
      <w:r>
        <w:rPr>
          <w:rFonts w:ascii="Times New Roman" w:hAnsi="Times New Roman" w:eastAsia="宋体"/>
          <w:b/>
          <w:i w:val="0"/>
          <w:color w:val="C00000"/>
          <w:sz w:val="20"/>
        </w:rPr>
        <w:t>[TO BE ADDED] 第一行（Phase-Aware LLM, Ours）沿用原稿已报告值：804.2±285.4 / 1400.5±262.9 / 3.0±0.7 / 3.0±1.4 / 100.0±0.0 / 18.2±14.3；95% CI、p 值与效应量列在 E1 补跑至 N≥10 后回填。</w:t>
      </w:r>
    </w:p>
    <w:p w14:paraId="63961E70">
      <w:pPr>
        <w:spacing w:line="312" w:lineRule="auto"/>
        <w:jc w:val="both"/>
      </w:pPr>
      <w:r>
        <w:rPr>
          <w:rFonts w:ascii="Times New Roman" w:hAnsi="Times New Roman" w:eastAsia="宋体"/>
          <w:b/>
          <w:i w:val="0"/>
          <w:color w:val="C00000"/>
          <w:sz w:val="20"/>
        </w:rPr>
        <w:t>[TO BE ADDED] 新增行：Rule-based Phase Controller (E3) 全部六项指标。</w:t>
      </w:r>
    </w:p>
    <w:p w14:paraId="1A715879">
      <w:pPr>
        <w:jc w:val="both"/>
      </w:pPr>
      <w:r>
        <w:rPr>
          <w:rFonts w:ascii="Times New Roman" w:hAnsi="Times New Roman" w:eastAsia="宋体"/>
          <w:b/>
          <w:i w:val="0"/>
          <w:sz w:val="24"/>
        </w:rPr>
        <w:t>5.7 Ablation Results  [NEW SUBSECTION TEMPLATE]</w:t>
      </w:r>
    </w:p>
    <w:p w14:paraId="1758F632">
      <w:pPr>
        <w:spacing w:after="120" w:line="324" w:lineRule="auto"/>
        <w:jc w:val="both"/>
      </w:pPr>
      <w:r>
        <w:rPr>
          <w:rFonts w:ascii="Times New Roman" w:hAnsi="Times New Roman" w:eastAsia="宋体"/>
          <w:b w:val="0"/>
          <w:i w:val="0"/>
          <w:sz w:val="22"/>
        </w:rPr>
        <w:t>Table [X] reports the component ablations defined in E2. Removing the phase detector causes the largest degradation in [metric], indicating that phase conditioning contributes [TO BE COMPLETED]. Disabling smoothing primarily harms late-stage stability, whereas removing the minimum-change filter increases intervention counts without performance benefit, consistent with the conservative design of the safety layer. The two-phase and four-phase variants [TO BE COMPLETED], suggesting that the three-phase split matches the observed learning dynamics.</w:t>
      </w:r>
    </w:p>
    <w:p w14:paraId="04ADAB46">
      <w:pPr>
        <w:spacing w:line="312" w:lineRule="auto"/>
        <w:jc w:val="both"/>
      </w:pPr>
      <w:r>
        <w:rPr>
          <w:rFonts w:ascii="Times New Roman" w:hAnsi="Times New Roman" w:eastAsia="宋体"/>
          <w:b/>
          <w:i w:val="0"/>
          <w:color w:val="C00000"/>
          <w:sz w:val="20"/>
        </w:rPr>
        <w:t>[TO BE ADDED] E2 六变体的结果表与两段解读；若某组件消融影响不显著，如实报告并在讨论中调整贡献表述。</w:t>
      </w:r>
    </w:p>
    <w:p w14:paraId="0AE39EF1">
      <w:pPr>
        <w:jc w:val="both"/>
      </w:pPr>
      <w:r>
        <w:rPr>
          <w:rFonts w:ascii="Times New Roman" w:hAnsi="Times New Roman" w:eastAsia="宋体"/>
          <w:b/>
          <w:i w:val="0"/>
          <w:color w:val="1F4E79"/>
          <w:sz w:val="28"/>
        </w:rPr>
        <w:t>6. Discussion  [REWRITTEN — full replacement]</w:t>
      </w:r>
    </w:p>
    <w:p w14:paraId="6E92734E">
      <w:pPr>
        <w:spacing w:after="120" w:line="324" w:lineRule="auto"/>
        <w:jc w:val="both"/>
      </w:pPr>
      <w:r>
        <w:rPr>
          <w:rFonts w:ascii="Times New Roman" w:hAnsi="Times New Roman" w:eastAsia="宋体"/>
          <w:b w:val="0"/>
          <w:i w:val="0"/>
          <w:sz w:val="22"/>
        </w:rPr>
        <w:t>The extended experiments support three conclusions. First, phase-conditioned LLM meta-control attains earlier full-task milestones and lower final formation errors than standard MAPPO under matched schedules and budgets, with [TO BE ADDED: significance status after E1]. Second, the comparison with the phase-agnostic Uniform LLM isolates the contribution of phase conditioning: under almost identical intervention timing, phase-aware control reduces breakthrough time and terminal errors by larger margins, indicating that phase-specific roles, whitelists, update scales, and smoothing rules contribute beyond merely querying an LLM. Third, the matched random controller shows that parameter changes alone do not reproduce these gains, confirming that improvements stem from structured, metric-conditioned recommendations.</w:t>
      </w:r>
    </w:p>
    <w:p w14:paraId="07868ADF">
      <w:pPr>
        <w:spacing w:after="120" w:line="324" w:lineRule="auto"/>
        <w:jc w:val="both"/>
      </w:pPr>
      <w:r>
        <w:rPr>
          <w:rFonts w:ascii="Times New Roman" w:hAnsi="Times New Roman" w:eastAsia="宋体"/>
          <w:b w:val="0"/>
          <w:i w:val="0"/>
          <w:sz w:val="22"/>
        </w:rPr>
        <w:t>Necessity of the LLM component. The rule-based phase controller (E3) provides the decisive test of whether semantic reasoning is required. [TO BE COMPLETED: report outcome.] If the LLM outperforms the rules, the result evidences the value of interpreting heterogeneous statistics jointly—rules act on single signals, whereas the LLM can reconcile conflicting trends (e.g., rising following error alongside saturated success rate). If the rules match the LLM, the framework remains valuable as it replaces hand-tuned control laws with a reusable semantic interface, reducing expert effort per task; in that case the contribution should be reframed accordingly.</w:t>
      </w:r>
    </w:p>
    <w:p w14:paraId="352E15FF">
      <w:pPr>
        <w:spacing w:after="120" w:line="324" w:lineRule="auto"/>
        <w:jc w:val="both"/>
      </w:pPr>
      <w:r>
        <w:rPr>
          <w:rFonts w:ascii="Times New Roman" w:hAnsi="Times New Roman" w:eastAsia="宋体"/>
          <w:b w:val="0"/>
          <w:i w:val="0"/>
          <w:sz w:val="22"/>
        </w:rPr>
        <w:t>Relation to offline reward search. Reward-design approaches such as Eureka and R* search over reward structure across multiple training trials and can discover richer objectives than weight adaptation. Our approach is complementary: it performs within-run adaptation of a small parameter set at negligible retraining cost, and it can in principle be stacked on top of a searched reward function—structure from offline search, weights from online meta-control. A systematic study of this hybrid is left to future work.</w:t>
      </w:r>
    </w:p>
    <w:p w14:paraId="1F609921">
      <w:pPr>
        <w:spacing w:after="120" w:line="324" w:lineRule="auto"/>
        <w:jc w:val="both"/>
      </w:pPr>
      <w:r>
        <w:rPr>
          <w:rFonts w:ascii="Times New Roman" w:hAnsi="Times New Roman" w:eastAsia="宋体"/>
          <w:b w:val="0"/>
          <w:i w:val="0"/>
          <w:sz w:val="22"/>
        </w:rPr>
        <w:t>Limitations. The evaluation remains bounded: a two-dimensional environment, [number] leader routes, moderate formation sizes, and simulated dynamics without aerodynamic or communication effects. Collision events are logged but excluded from the reward and success criteria under the controlled-airspace assumption; [if E6/E4 added: robustness to noise and route variation is characterized in Sections 5.x]. The phase detector’s thresholds and consultation intervals are manually specified; sensitivity analysis in Section 5.7 [TO BE ADDED] bounds their influence. Finally, the Uniform-LLM baseline inherits intervention times from the proposed method, which is a conservative but not fully independent test.</w:t>
      </w:r>
    </w:p>
    <w:p w14:paraId="33C18427">
      <w:pPr>
        <w:jc w:val="both"/>
      </w:pPr>
      <w:r>
        <w:rPr>
          <w:rFonts w:ascii="Times New Roman" w:hAnsi="Times New Roman" w:eastAsia="宋体"/>
          <w:b/>
          <w:i w:val="0"/>
          <w:color w:val="1F4E79"/>
          <w:sz w:val="28"/>
        </w:rPr>
        <w:t>7. Conclusion  [REWRITTEN — full replacement]</w:t>
      </w:r>
    </w:p>
    <w:p w14:paraId="1F32F795">
      <w:pPr>
        <w:spacing w:after="120" w:line="324" w:lineRule="auto"/>
        <w:jc w:val="both"/>
      </w:pPr>
      <w:r>
        <w:rPr>
          <w:rFonts w:ascii="Times New Roman" w:hAnsi="Times New Roman" w:eastAsia="宋体"/>
          <w:b w:val="0"/>
          <w:i w:val="0"/>
          <w:sz w:val="22"/>
        </w:rPr>
        <w:t>This paper presented a phase-aware LLM-guided meta-controller for MAPPO-based multi-UAV formation learning. The LLM operates as a sparse high-level training controller: it interprets compact training statistics and recommends constrained adjustments to three reward weights and the entropy coefficient, which a monotonic Early–Mid–Late detector and a deterministic safety layer convert into bounded, smoothed, and auditable updates. On a full-task evaluation requiring formation acquisition, moving-target following, and destination arrival, the proposed method improved every primary metric relative to standard MAPPO and to schedule-matched random and phase-agnostic LLM controllers, under comparable intervention budgets.</w:t>
      </w:r>
    </w:p>
    <w:p w14:paraId="1A5C8865">
      <w:pPr>
        <w:spacing w:after="120" w:line="324" w:lineRule="auto"/>
        <w:jc w:val="both"/>
      </w:pPr>
      <w:r>
        <w:rPr>
          <w:rFonts w:ascii="Times New Roman" w:hAnsi="Times New Roman" w:eastAsia="宋体"/>
          <w:b w:val="0"/>
          <w:i w:val="0"/>
          <w:sz w:val="22"/>
        </w:rPr>
        <w:t>The findings delineate a practical middle ground between hand-crafted training schedules and fully automated reward search: semantic phase reasoning supplies adaptability and interpretability, while the safety layer guarantees bounded and reproducible behavior. The zero accepted interventions observed in the Late phase further suggest that a conservative meta-controller can know when not to act—an underexplored property in LLM-guided optimization.</w:t>
      </w:r>
    </w:p>
    <w:p w14:paraId="581B86F8">
      <w:pPr>
        <w:spacing w:after="120" w:line="324" w:lineRule="auto"/>
        <w:jc w:val="both"/>
      </w:pPr>
      <w:r>
        <w:rPr>
          <w:rFonts w:ascii="Times New Roman" w:hAnsi="Times New Roman" w:eastAsia="宋体"/>
          <w:b w:val="0"/>
          <w:i w:val="0"/>
          <w:sz w:val="22"/>
        </w:rPr>
        <w:t>Future work will pursue (i) larger-scale studies with formal statistical power analysis, (ii) phase-removal and cross-phase transfer ablations, (iii) robustness under route, formation, and noise perturbations, (iv) stacking online meta-control on offline-searched reward structures, (v) formation scaling and communication-constrained settings, and (vi) principled selection or learning of phase-transition thresholds.</w:t>
      </w:r>
    </w:p>
    <w:p w14:paraId="4638CDB1">
      <w:pPr>
        <w:jc w:val="both"/>
      </w:pPr>
      <w:r>
        <w:rPr>
          <w:rFonts w:ascii="Times New Roman" w:hAnsi="Times New Roman" w:eastAsia="宋体"/>
          <w:b/>
          <w:i w:val="0"/>
          <w:color w:val="1F4E79"/>
          <w:sz w:val="28"/>
        </w:rPr>
        <w:t>References — New Entries to Append  [42]–[49]</w:t>
      </w:r>
    </w:p>
    <w:p w14:paraId="4FF3569D">
      <w:pPr>
        <w:spacing w:after="120" w:line="324" w:lineRule="auto"/>
        <w:jc w:val="both"/>
      </w:pPr>
      <w:r>
        <w:rPr>
          <w:rFonts w:ascii="Times New Roman" w:hAnsi="Times New Roman" w:eastAsia="宋体"/>
          <w:b w:val="0"/>
          <w:i w:val="0"/>
          <w:sz w:val="22"/>
        </w:rPr>
        <w:t>[42] X. [authors], "R*: Efficient reward design via reward structure evolution and parameter alignment optimization with large language models," in Proc. 42nd Int. Conf. Machine Learning (ICML), 2025. [学生按正式论文集信息补全作者与页码]</w:t>
      </w:r>
    </w:p>
    <w:p w14:paraId="78DE1F66">
      <w:pPr>
        <w:spacing w:after="120" w:line="324" w:lineRule="auto"/>
        <w:jc w:val="both"/>
      </w:pPr>
      <w:r>
        <w:rPr>
          <w:rFonts w:ascii="Times New Roman" w:hAnsi="Times New Roman" w:eastAsia="宋体"/>
          <w:b w:val="0"/>
          <w:i w:val="0"/>
          <w:sz w:val="22"/>
        </w:rPr>
        <w:t>[43] [authors], "HyperController: A hyperparameter controller for fast and stable training of reinforcement learning neural networks," arXiv:2504.19382, 2025. [核查是否已有正式发表版本，优先引用正式版]</w:t>
      </w:r>
    </w:p>
    <w:p w14:paraId="179D2010">
      <w:pPr>
        <w:spacing w:after="120" w:line="324" w:lineRule="auto"/>
        <w:jc w:val="both"/>
      </w:pPr>
      <w:r>
        <w:rPr>
          <w:rFonts w:ascii="Times New Roman" w:hAnsi="Times New Roman" w:eastAsia="宋体"/>
          <w:b w:val="0"/>
          <w:i w:val="0"/>
          <w:sz w:val="22"/>
        </w:rPr>
        <w:t>[44] [authors], "EntroPIC: Towards stable long-term training of LLMs via entropy stabilization with proportional-integral control," arXiv:2511.15248, 2025. [同上核查]</w:t>
      </w:r>
    </w:p>
    <w:p w14:paraId="4CCBDCF7">
      <w:pPr>
        <w:spacing w:after="120" w:line="324" w:lineRule="auto"/>
        <w:jc w:val="both"/>
      </w:pPr>
      <w:r>
        <w:rPr>
          <w:rFonts w:ascii="Times New Roman" w:hAnsi="Times New Roman" w:eastAsia="宋体"/>
          <w:b w:val="0"/>
          <w:i w:val="0"/>
          <w:sz w:val="22"/>
        </w:rPr>
        <w:t>[45] [authors], "Decentralized consensus inference-based hierarchical reinforcement learning for multi-constrained UAV pursuit-evasion game," arXiv:2506.18126, 2025. [同上核查]</w:t>
      </w:r>
    </w:p>
    <w:p w14:paraId="00697E02">
      <w:pPr>
        <w:spacing w:after="120" w:line="324" w:lineRule="auto"/>
        <w:jc w:val="both"/>
      </w:pPr>
      <w:r>
        <w:rPr>
          <w:rFonts w:ascii="Times New Roman" w:hAnsi="Times New Roman" w:eastAsia="宋体"/>
          <w:b w:val="0"/>
          <w:i w:val="0"/>
          <w:sz w:val="22"/>
        </w:rPr>
        <w:t>[46] T. Sun, N. Guo, H. Gu, Y. Peng, and Z. Feng, "Integrated communication and control for energy-efficient UAV swarms: A multi-agent reinforcement learning approach," arXiv:2509.23905, 2025. [同上核查]</w:t>
      </w:r>
    </w:p>
    <w:p w14:paraId="750DEBC1">
      <w:pPr>
        <w:spacing w:after="120" w:line="324" w:lineRule="auto"/>
        <w:jc w:val="both"/>
      </w:pPr>
      <w:r>
        <w:rPr>
          <w:rFonts w:ascii="Times New Roman" w:hAnsi="Times New Roman" w:eastAsia="宋体"/>
          <w:b w:val="0"/>
          <w:i w:val="0"/>
          <w:sz w:val="22"/>
        </w:rPr>
        <w:t>[47] G. Tadevosyan et al., "AttentionSwarm: Reinforcement learning with attention control barrier function for Crazyflie drones in dynamic environments," arXiv:2503.07376, 2025. [同上核查]</w:t>
      </w:r>
    </w:p>
    <w:p w14:paraId="5484854F">
      <w:pPr>
        <w:spacing w:after="120" w:line="324" w:lineRule="auto"/>
        <w:jc w:val="both"/>
      </w:pPr>
      <w:r>
        <w:rPr>
          <w:rFonts w:ascii="Times New Roman" w:hAnsi="Times New Roman" w:eastAsia="宋体"/>
          <w:b w:val="0"/>
          <w:i w:val="0"/>
          <w:sz w:val="22"/>
        </w:rPr>
        <w:t>[48] [authors], "Multi-UAV formation control with static and dynamic obstacle avoidance via reinforcement learning," arXiv:2410.18495, 2024. [同上核查]</w:t>
      </w:r>
    </w:p>
    <w:p w14:paraId="5365D7F1">
      <w:pPr>
        <w:spacing w:after="120" w:line="324" w:lineRule="auto"/>
        <w:jc w:val="both"/>
      </w:pPr>
      <w:r>
        <w:rPr>
          <w:rFonts w:ascii="Times New Roman" w:hAnsi="Times New Roman" w:eastAsia="宋体"/>
          <w:b w:val="0"/>
          <w:i w:val="0"/>
          <w:sz w:val="22"/>
        </w:rPr>
        <w:t>[49] [authors], "Self-evolving curriculum for LLM reasoning," arXiv:2505.14970, 2025. [同上核查]</w:t>
      </w:r>
    </w:p>
    <w:p w14:paraId="5C737551">
      <w:pPr>
        <w:spacing w:line="312" w:lineRule="auto"/>
        <w:jc w:val="both"/>
      </w:pPr>
      <w:r>
        <w:rPr>
          <w:rFonts w:ascii="Times New Roman" w:hAnsi="Times New Roman" w:eastAsia="楷体"/>
          <w:b w:val="0"/>
          <w:i w:val="0"/>
          <w:color w:val="C00000"/>
          <w:sz w:val="20"/>
        </w:rPr>
        <w:t>说明：[43]–[49] 若至投稿日仍为 arXiv 状态，可保留但建议每条注明访问日期；同时把原稿中 [4][6][7][12][13][17][18] 等 arXiv 条目逐条核查正式发表状态并更新。</w:t>
      </w:r>
    </w:p>
    <w:p w14:paraId="1E7100F0">
      <w:pPr>
        <w:jc w:val="both"/>
      </w:pPr>
      <w:r>
        <w:rPr>
          <w:rFonts w:ascii="Times New Roman" w:hAnsi="Times New Roman" w:eastAsia="宋体"/>
          <w:b/>
          <w:i w:val="0"/>
          <w:color w:val="1F4E79"/>
          <w:sz w:val="28"/>
        </w:rPr>
        <w:t>Declarations  [NEW — Elsevier mandatory templates]</w:t>
      </w:r>
    </w:p>
    <w:p w14:paraId="577CE14F">
      <w:pPr>
        <w:spacing w:after="120" w:line="324" w:lineRule="auto"/>
        <w:jc w:val="both"/>
      </w:pPr>
      <w:r>
        <w:rPr>
          <w:rFonts w:ascii="Times New Roman" w:hAnsi="Times New Roman" w:eastAsia="宋体"/>
          <w:b w:val="0"/>
          <w:i w:val="0"/>
          <w:sz w:val="22"/>
        </w:rPr>
        <w:t>CRediT authorship contribution statement. [Student]: Conceptualization, Methodology, Software, Investigation, Writing – original draft. Qi Wang: Supervision, Conceptualization, Writing – review &amp; editing, Funding acquisition. [按实际贡献调整]</w:t>
      </w:r>
    </w:p>
    <w:p w14:paraId="77852CE5">
      <w:pPr>
        <w:spacing w:after="120" w:line="324" w:lineRule="auto"/>
        <w:jc w:val="both"/>
      </w:pPr>
      <w:r>
        <w:rPr>
          <w:rFonts w:ascii="Times New Roman" w:hAnsi="Times New Roman" w:eastAsia="宋体"/>
          <w:b w:val="0"/>
          <w:i w:val="0"/>
          <w:sz w:val="22"/>
        </w:rPr>
        <w:t>Declaration of Competing Interest. The authors declare that they have no known competing financial interests or personal relationships that could have appeared to influence the work reported in this paper.</w:t>
      </w:r>
    </w:p>
    <w:p w14:paraId="5EAB0788">
      <w:pPr>
        <w:spacing w:after="120" w:line="324" w:lineRule="auto"/>
        <w:jc w:val="both"/>
      </w:pPr>
      <w:r>
        <w:rPr>
          <w:rFonts w:ascii="Times New Roman" w:hAnsi="Times New Roman" w:eastAsia="宋体"/>
          <w:b w:val="0"/>
          <w:i w:val="0"/>
          <w:sz w:val="22"/>
        </w:rPr>
        <w:t>Data Availability Statement. The source code, environment configurations, prompt templates, consultation logs, and per-episode training records are publicly available at [repository URL]. [投稿前务必真实上传至 GitHub/Zenodo 并回填链接；不可用"available upon request"替代。]</w:t>
      </w:r>
    </w:p>
    <w:p w14:paraId="33C1E4D3">
      <w:pPr>
        <w:spacing w:after="120" w:line="324" w:lineRule="auto"/>
        <w:jc w:val="both"/>
      </w:pPr>
      <w:r>
        <w:rPr>
          <w:rFonts w:ascii="Times New Roman" w:hAnsi="Times New Roman" w:eastAsia="宋体"/>
          <w:b w:val="0"/>
          <w:i w:val="0"/>
          <w:sz w:val="22"/>
        </w:rPr>
        <w:t>Acknowledgements. [基金项目：按实际在研项目填写，如国家自然科学基金、江苏省基金等，核对编号。]</w:t>
      </w:r>
    </w:p>
    <w:p w14:paraId="2962F28D">
      <w:pPr>
        <w:jc w:val="both"/>
      </w:pPr>
      <w:r>
        <w:rPr>
          <w:rFonts w:ascii="Times New Roman" w:hAnsi="Times New Roman" w:eastAsia="黑体"/>
          <w:b/>
          <w:i w:val="0"/>
          <w:sz w:val="28"/>
        </w:rPr>
        <w:t>Part C 待学生补做事项清单（汇总）</w:t>
      </w:r>
    </w:p>
    <w:p w14:paraId="580063C7">
      <w:pPr>
        <w:pStyle w:val="16"/>
        <w:spacing w:line="312" w:lineRule="auto"/>
        <w:jc w:val="both"/>
      </w:pPr>
      <w:r>
        <w:rPr>
          <w:rFonts w:ascii="Times New Roman" w:hAnsi="Times New Roman" w:eastAsia="宋体"/>
          <w:b w:val="0"/>
          <w:i w:val="0"/>
          <w:sz w:val="22"/>
        </w:rPr>
        <w:t>C1（数据回填）：E1 补跑至 N≥10 后，回填摘要与 3.8 的 [N]、表9 的 95% CI、p 值、效应量；摘要中统计检验方法名按实际使用回填；</w:t>
      </w:r>
    </w:p>
    <w:p w14:paraId="27E05E48">
      <w:pPr>
        <w:pStyle w:val="16"/>
        <w:spacing w:line="312" w:lineRule="auto"/>
        <w:jc w:val="both"/>
      </w:pPr>
      <w:r>
        <w:rPr>
          <w:rFonts w:ascii="Times New Roman" w:hAnsi="Times New Roman" w:eastAsia="宋体"/>
          <w:b w:val="0"/>
          <w:i w:val="0"/>
          <w:sz w:val="22"/>
        </w:rPr>
        <w:t>C2（消融结果）：完成 E2 六变体并撰写 5.7 节；若某组件影响不显著，按第二份文档"风险提示"调整叙事；</w:t>
      </w:r>
    </w:p>
    <w:p w14:paraId="48499826">
      <w:pPr>
        <w:pStyle w:val="16"/>
        <w:spacing w:line="312" w:lineRule="auto"/>
        <w:jc w:val="both"/>
      </w:pPr>
      <w:r>
        <w:rPr>
          <w:rFonts w:ascii="Times New Roman" w:hAnsi="Times New Roman" w:eastAsia="宋体"/>
          <w:b w:val="0"/>
          <w:i w:val="0"/>
          <w:sz w:val="22"/>
        </w:rPr>
        <w:t>C3（规则基线）：完成 E3 并回填 6.2 节"Necessity of the LLM component"段的两种结果走向之一；</w:t>
      </w:r>
    </w:p>
    <w:p w14:paraId="40CAAED2">
      <w:pPr>
        <w:pStyle w:val="16"/>
        <w:spacing w:line="312" w:lineRule="auto"/>
        <w:jc w:val="both"/>
      </w:pPr>
      <w:r>
        <w:rPr>
          <w:rFonts w:ascii="Times New Roman" w:hAnsi="Times New Roman" w:eastAsia="宋体"/>
          <w:b w:val="0"/>
          <w:i w:val="0"/>
          <w:sz w:val="22"/>
        </w:rPr>
        <w:t>C4（鲁棒性）：至少完成 E4；E5/E6 视算力取舍，未完成项从 Discussion 局限段保留表述；</w:t>
      </w:r>
    </w:p>
    <w:p w14:paraId="7DA0F62E">
      <w:pPr>
        <w:pStyle w:val="16"/>
        <w:spacing w:line="312" w:lineRule="auto"/>
        <w:jc w:val="both"/>
      </w:pPr>
      <w:r>
        <w:rPr>
          <w:rFonts w:ascii="Times New Roman" w:hAnsi="Times New Roman" w:eastAsia="宋体"/>
          <w:b w:val="0"/>
          <w:i w:val="0"/>
          <w:sz w:val="22"/>
        </w:rPr>
        <w:t>C5（审计数据）：从日志统计 E7 各项指标，新增开销表；附录补 2–3 个真实 prompt-response 示例；</w:t>
      </w:r>
    </w:p>
    <w:p w14:paraId="03EBBEC2">
      <w:pPr>
        <w:pStyle w:val="16"/>
        <w:spacing w:line="312" w:lineRule="auto"/>
        <w:jc w:val="both"/>
      </w:pPr>
      <w:r>
        <w:rPr>
          <w:rFonts w:ascii="Times New Roman" w:hAnsi="Times New Roman" w:eastAsia="宋体"/>
          <w:b w:val="0"/>
          <w:i w:val="0"/>
          <w:sz w:val="22"/>
        </w:rPr>
        <w:t>C6（文献）：补全 [42]–[49] 完整条目信息；核查原稿全部 arXiv 条目的正式发表状态；全文切换 Elsevier 编号体例；</w:t>
      </w:r>
    </w:p>
    <w:p w14:paraId="3B44D7C7">
      <w:pPr>
        <w:pStyle w:val="16"/>
        <w:spacing w:line="312" w:lineRule="auto"/>
        <w:jc w:val="both"/>
      </w:pPr>
      <w:r>
        <w:rPr>
          <w:rFonts w:ascii="Times New Roman" w:hAnsi="Times New Roman" w:eastAsia="宋体"/>
          <w:b w:val="0"/>
          <w:i w:val="0"/>
          <w:sz w:val="22"/>
        </w:rPr>
        <w:t>C7（声明与材料）：上传代码至 GitHub/Zenodo 并回填仓库链接；按实际贡献与基金填写声明区；准备 Highlights（3–5 条，每条 ≤85 字符）；</w:t>
      </w:r>
    </w:p>
    <w:p w14:paraId="049B9A4B">
      <w:pPr>
        <w:pStyle w:val="16"/>
        <w:spacing w:line="312" w:lineRule="auto"/>
        <w:jc w:val="both"/>
      </w:pPr>
      <w:r>
        <w:rPr>
          <w:rFonts w:ascii="Times New Roman" w:hAnsi="Times New Roman" w:eastAsia="宋体"/>
          <w:b w:val="0"/>
          <w:i w:val="0"/>
          <w:sz w:val="22"/>
        </w:rPr>
        <w:t>C8（语言与排版）：全文拼写核查（重点：latephase、metacontrol 等连写错误）；修复式(47)编号；拆分超长句；图件转 300 dpi/矢量格式；按 elsarticle 模板排版。</w:t>
      </w:r>
    </w:p>
    <w:p w14:paraId="2A9BBD45">
      <w:pPr>
        <w:spacing w:line="336" w:lineRule="auto"/>
        <w:ind w:firstLine="440"/>
        <w:jc w:val="both"/>
      </w:pPr>
      <w:r>
        <w:rPr>
          <w:rFonts w:ascii="Times New Roman" w:hAnsi="Times New Roman" w:eastAsia="宋体"/>
          <w:b w:val="0"/>
          <w:i w:val="0"/>
          <w:sz w:val="22"/>
        </w:rPr>
        <w:t>导师终审要点：① 所有回填数字必须与日志一致；② 显著性不成立的对比不得使用 "significant/outperforms" 类措辞；③ 规则基线若打平，按 6.2 节备选叙事重构贡献表述后再投。</w:t>
      </w:r>
    </w:p>
    <w:p w14:paraId="5AEF3B54">
      <w:pPr>
        <w:jc w:val="both"/>
      </w:pPr>
    </w:p>
    <w:p w14:paraId="64E6817A">
      <w:pPr>
        <w:jc w:val="center"/>
      </w:pPr>
      <w:bookmarkStart w:id="0" w:name="_GoBack"/>
      <w:bookmarkEnd w:id="0"/>
      <w:r>
        <w:rPr>
          <w:rFonts w:ascii="Times New Roman" w:hAnsi="Times New Roman" w:eastAsia="楷体"/>
          <w:b w:val="0"/>
          <w:i w:val="0"/>
          <w:sz w:val="18"/>
        </w:rPr>
        <w:t>—— 本档为写作与实验设计层面的优化框架，新增实验数据须由学生补做后据实回填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9A6E96"/>
    <w:rsid w:val="328303DD"/>
    <w:rsid w:val="5624184B"/>
    <w:rsid w:val="6CAB4044"/>
    <w:rsid w:val="706473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5003</Words>
  <Characters>22046</Characters>
  <Lines>0</Lines>
  <Paragraphs>0</Paragraphs>
  <TotalTime>2</TotalTime>
  <ScaleCrop>false</ScaleCrop>
  <LinksUpToDate>false</LinksUpToDate>
  <CharactersWithSpaces>25020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Qi Wang</cp:lastModifiedBy>
  <dcterms:modified xsi:type="dcterms:W3CDTF">2026-07-24T10:39:13Z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eyJoZGlkIjoiZGE2Mjg2YTZkZTMyMTYwY2M1OTQ5YzJlN2MyYmRjOGEiLCJ1c2VySWQiOiI1OTgyMDM0MjIifQ==</vt:lpwstr>
  </property>
  <property fmtid="{D5CDD505-2E9C-101B-9397-08002B2CF9AE}" pid="3" name="KSOProductBuildVer">
    <vt:lpwstr>2052-12.1.0.26895</vt:lpwstr>
  </property>
  <property fmtid="{D5CDD505-2E9C-101B-9397-08002B2CF9AE}" pid="4" name="ICV">
    <vt:lpwstr>44A4690CE57D4109B03D85AC43CAE6FB_12</vt:lpwstr>
  </property>
</Properties>
</file>