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实验部分优化提升实施方案（第四份）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Phase-Aware LLM-Guided Meta-Controller for Multi-UAV Formation Learning</w:t>
      </w:r>
    </w:p>
    <w:p>
      <w:pPr>
        <w:jc w:val="center"/>
      </w:pPr>
      <w:r>
        <w:rPr>
          <w:rFonts w:ascii="Times New Roman" w:hAnsi="Times New Roman" w:eastAsia="楷体"/>
          <w:b w:val="0"/>
          <w:sz w:val="24"/>
        </w:rPr>
        <w:t>—— 落地文档2审稿意见 × 文档3 E1–E7设计的实验执行手册 ——</w:t>
      </w:r>
    </w:p>
    <w:p>
      <w:pPr>
        <w:jc w:val="center"/>
      </w:pPr>
      <w:r>
        <w:rPr>
          <w:rFonts w:ascii="Times New Roman" w:hAnsi="Times New Roman" w:eastAsia="宋体"/>
          <w:b w:val="0"/>
          <w:sz w:val="20"/>
        </w:rPr>
        <w:t>生成日期：2026年7月24日</w:t>
      </w:r>
    </w:p>
    <w:p>
      <w:r>
        <w:rPr>
          <w:rFonts w:ascii="Times New Roman" w:hAnsi="Times New Roman" w:eastAsia="黑体"/>
          <w:b/>
          <w:sz w:val="28"/>
        </w:rPr>
        <w:t>使用说明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本档面向具体执行实验的学生，按"做什么（实验内容）→ 怎么做（技术路径）→ 防什么（注意要点）→ 交什么（验收标准）"四段式，逐项落地第二份文档的实验类意见（问题1/2/3/4/5/6/7/9）与第三份文档 4.5 节的 E1–E7 设计，并补一项 E8（相位超参敏感性，对应问题9）。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P0＝投稿前必须完成；P1＝保底完成；P2＝视算力裁剪，不完成则在 Discussion 局限段如实保留表述；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所有新数据必须先跑出真实结果，再回填第三份文档的红色 [TO BE ADDED] 占位——严禁先填数后补实验；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与前三份文档的关系：文档2 回答"为什么要做"，文档3 回答"论文里怎么写"，本档回答"实验室里怎么干"。</w:t>
      </w:r>
    </w:p>
    <w:p>
      <w:r>
        <w:rPr>
          <w:rFonts w:ascii="Times New Roman" w:hAnsi="Times New Roman" w:eastAsia="黑体"/>
          <w:b/>
          <w:sz w:val="28"/>
        </w:rPr>
        <w:t>一、实验现状诊断与总体目标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原稿已具备的实验资产：①四方法主对比（Ours / MAPPO / Random / Uniform-LLM，表9，六项指标）；②干预统计（图7）；③训练曲线。资产质量不错，缺的是"统计可信度"与"归因完整性"。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对照 Neurocomputing 2025–2026 五条实验硬标准，原稿差距与对应补齐实验如下：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独立运行次数未明（问题1）→ E1 补跑至 N≥10；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零统计检验（问题2）→ E1 配套统计分析流程；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无组件消融（问题3）→ E2 六变体消融；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无 LLM 必要性对照（问题4）→ E3 规则基线控制器；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环境单一玩具化（问题5）→ E4 路线/初始化鲁棒性（保底）＋ E5 规模泛化、E6 噪声鲁棒性（可选）；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无开销实测与解析证据（问题6/7）→ E7 日志审计（纯统计，零实验成本）；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相位超参无敏感性依据（问题9）→ E8 阈值扰动。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总目标：投稿版中每一项性能声明都有 N、95% CI、p 值、效应量支撑；每一个组件都有消融归因；"为什么用 LLM"有正面实验回答。</w:t>
      </w:r>
    </w:p>
    <w:p>
      <w:r>
        <w:rPr>
          <w:rFonts w:ascii="Times New Roman" w:hAnsi="Times New Roman" w:eastAsia="黑体"/>
          <w:b/>
          <w:sz w:val="28"/>
        </w:rPr>
        <w:t>二、补充实验总览与机时预算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先实测单次运行的实际机时 t（小时/2500回合），再按下表排期。LLM 咨询仅约 18 次/run，DeepSeek-R1-Distill-14B 本地推理不是瓶颈，主要耗时在 MAPPO 训练。</w:t>
      </w:r>
    </w:p>
    <w:p>
      <w:r>
        <w:rPr>
          <w:rFonts w:ascii="Times New Roman" w:hAnsi="Times New Roman" w:eastAsia="黑体"/>
          <w:b/>
          <w:color w:val="1F4E79"/>
          <w:sz w:val="22"/>
        </w:rPr>
        <w:t>表1 实验批次总览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P0 批（必须先跑）：E1 主对比 4方法×10种子＝40 runs；E2 消融 6变体×5种子＝30 runs；E3 规则基线×10种子＝10 runs；E7 纯日志统计＝0 runs。合计 80 runs ≈ 80t 小时；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P1 批（保底）：E4 三路线 2方法(Ours/MAPPO)×3路线×5种子＝30 runs；E8 阈值扰动约 10 runs。合计 40 runs；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P2 批（可选）：E5 规模泛化、E6 噪声鲁棒，各约 20–40 runs，按剩余算力取舍。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机时示例：若 t≈3 小时，P0 批单卡串行约 240 小时（10 天），4 卡并行约 2.5–3 天即可跑完。务必先跑 P0 批，E1 的部分种子可以与 E2/E3 共享初始窗口并行启动。</w:t>
      </w:r>
    </w:p>
    <w:p>
      <w:r>
        <w:rPr>
          <w:rFonts w:ascii="Times New Roman" w:hAnsi="Times New Roman" w:eastAsia="黑体"/>
          <w:b/>
          <w:color w:val="1F4E79"/>
          <w:sz w:val="22"/>
        </w:rPr>
        <w:t>依赖关系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E7（日志统计）今天就能做，不依赖任何新实验，优先完成；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E3 与 E2 互不依赖，可并行；E3 复用 E1 的相位检测器与安全层代码；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E4–E6 依赖 E1 训好的 Ours/MAPPO 配置冻结后再做，严禁边跑边调参。</w:t>
      </w:r>
    </w:p>
    <w:p>
      <w:r>
        <w:rPr>
          <w:rFonts w:ascii="Times New Roman" w:hAnsi="Times New Roman" w:eastAsia="黑体"/>
          <w:b/>
          <w:color w:val="C00000"/>
          <w:sz w:val="28"/>
        </w:rPr>
        <w:t>三、E1 统计充分性实验（P0，最高优先）</w:t>
      </w:r>
    </w:p>
    <w:p>
      <w:r>
        <w:rPr>
          <w:rFonts w:ascii="Times New Roman" w:hAnsi="Times New Roman" w:eastAsia="黑体"/>
          <w:b/>
          <w:color w:val="1F4E79"/>
          <w:sz w:val="22"/>
        </w:rPr>
        <w:t>【实验内容】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四种主方法（Ours / MAPPO / Random / Uniform-LLM）各完成 N≥10 次独立运行，报告六项主指标的均值±标准差、95% 置信区间、两两对比的 p 值与效应量。</w:t>
      </w:r>
    </w:p>
    <w:p>
      <w:r>
        <w:rPr>
          <w:rFonts w:ascii="Times New Roman" w:hAnsi="Times New Roman" w:eastAsia="黑体"/>
          <w:b/>
          <w:color w:val="1F4E79"/>
          <w:sz w:val="22"/>
        </w:rPr>
        <w:t>【技术路径】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① 种子预注册：固定 10 个种子（如 42, 123, 2024, 7, 999, 31415, 2718, 161, 555, 8888），写入 config 并记录进实验日志，跑完后不得以任何理由更换或剔除；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② 种子统一入口：同时控制环境种子、numpy/torch 随机种子、初始状态采样与随机基线的扰动序列，保证"同种子下各方法的初始条件一致"，这样两两对比可用配对检验，统计功效更高；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③ 每 run 独立日志目录：run_id/method/seed/超参快照/git commit 哈希一并落盘；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④ 统计分析流程（scipy 实现，模板见第十一节）：Shapiro-Wilk 正态性检验 → 正态用 Welch t（独立）或配对 t（同种子），非正态用 Mann-Whitney U（独立）或 Wilcoxon signed-rank（配对）→ 报告 p 值＋效应量（Cohen's d 或 rank-biserial r）→ 多指标多重比较做 Holm 校正；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⑤ 结果呈现：按文档3 表9 升级版模板回填（均值±std、95% CI、p、效应量、N 逐列齐全）。</w:t>
      </w:r>
    </w:p>
    <w:p>
      <w:r>
        <w:rPr>
          <w:rFonts w:ascii="Times New Roman" w:hAnsi="Times New Roman" w:eastAsia="黑体"/>
          <w:b/>
          <w:color w:val="1F4E79"/>
          <w:sz w:val="22"/>
        </w:rPr>
        <w:t>【注意要点】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C00000"/>
          <w:sz w:val="22"/>
        </w:rPr>
        <w:t>原稿 Ours 对 MAPPO 首成功改进 11.9%，但两组标准差（285 vs 351）与均值差（109）同量级——N 不足或方差过大时很可能不显著，要有心理准备；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若某项对比 p&gt;0.05：诚实改写措辞为 "consistent improvement in mean performance"，绝不写 significantly；效应量 d≥0.5 仍可在 Discussion 中讨论实际意义；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严禁"挑种子报喜"：审稿人要求提供逐 run 原始数据时必须能完整交出；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训练曲线全部保存，投稿版附图建议给出均值±标准差阴影带。</w:t>
      </w:r>
    </w:p>
    <w:p>
      <w:r>
        <w:rPr>
          <w:rFonts w:ascii="Times New Roman" w:hAnsi="Times New Roman" w:eastAsia="黑体"/>
          <w:b/>
          <w:color w:val="1F4E79"/>
          <w:sz w:val="22"/>
        </w:rPr>
        <w:t>【验收标准】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表9 升级版填满；每个百分比改进后都能跟上 (N=10, p=..., d=...)；摘要与 3.8 节的 [N]、[检验方法名] 完成回填。</w:t>
      </w:r>
    </w:p>
    <w:p>
      <w:r>
        <w:rPr>
          <w:rFonts w:ascii="Times New Roman" w:hAnsi="Times New Roman" w:eastAsia="黑体"/>
          <w:b/>
          <w:color w:val="C00000"/>
          <w:sz w:val="28"/>
        </w:rPr>
        <w:t>四、E2 组件消融实验（P0）</w:t>
      </w:r>
    </w:p>
    <w:p>
      <w:r>
        <w:rPr>
          <w:rFonts w:ascii="Times New Roman" w:hAnsi="Times New Roman" w:eastAsia="黑体"/>
          <w:b/>
          <w:color w:val="1F4E79"/>
          <w:sz w:val="22"/>
        </w:rPr>
        <w:t>【实验内容】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六变体消融，回答"每个组件是否必要"：(a) 无相位检测（全程 Early 规则）；(b) 无白名单（全参数开放）；(c) 无平滑（α=1）；(d) 无最小有效变化过滤；(e) 两相位划分（Early/Late）；(f) 四相位划分。每变体 ≥5 次独立运行（算力允许则 10 次）。</w:t>
      </w:r>
    </w:p>
    <w:p>
      <w:r>
        <w:rPr>
          <w:rFonts w:ascii="Times New Roman" w:hAnsi="Times New Roman" w:eastAsia="黑体"/>
          <w:b/>
          <w:color w:val="1F4E79"/>
          <w:sz w:val="22"/>
        </w:rPr>
        <w:t>【技术路径】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① 全部变体用 config 开关实现，不复制代码分支，避免实现漂移；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② 与 Ours 共用同批种子，做配对比较；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③ 变体(e)(f) 需重新定义相位边界：两相位建议 Early→Late（合并 Mid 进 Late 的阈值），四相位建议把 Mid 拆为 Mid-1/Mid-2（突破前期/后期），阈值映射写进附录；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④ 报告口径与 E1 完全一致：六项指标均值±std，与 Ours 的配对检验。</w:t>
      </w:r>
    </w:p>
    <w:p>
      <w:r>
        <w:rPr>
          <w:rFonts w:ascii="Times New Roman" w:hAnsi="Times New Roman" w:eastAsia="黑体"/>
          <w:b/>
          <w:color w:val="1F4E79"/>
          <w:sz w:val="22"/>
        </w:rPr>
        <w:t>【注意要点】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一次只改一个因素——变体(a)只去掉相位检测但保留白名单/平滑/过滤，否则无法归因；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预期叙事（文档3 已写好框架）：去相位检测退化最大→相位条件是核心贡献；去平滑主要伤后期稳定性；去最小变化过滤→干预次数上升但性能无收益。若实际结果与预期不符，如实报告并调整贡献表述，不要硬套；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变体(e)(f) 若与三相位打平，措辞改为"三相位是与观察到的学习动态匹配的最简划分"（奥卡姆叙事），不必强称最优。</w:t>
      </w:r>
    </w:p>
    <w:p>
      <w:r>
        <w:rPr>
          <w:rFonts w:ascii="Times New Roman" w:hAnsi="Times New Roman" w:eastAsia="黑体"/>
          <w:b/>
          <w:color w:val="1F4E79"/>
          <w:sz w:val="22"/>
        </w:rPr>
        <w:t>【验收标准】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消融表＋每个组件一句可归因结论；文档3 5.7 节两段解读完成回填。</w:t>
      </w:r>
    </w:p>
    <w:p>
      <w:r>
        <w:rPr>
          <w:rFonts w:ascii="Times New Roman" w:hAnsi="Times New Roman" w:eastAsia="黑体"/>
          <w:b/>
          <w:color w:val="C00000"/>
          <w:sz w:val="28"/>
        </w:rPr>
        <w:t>五、E3 规则基线控制器实验（P0，novelty 保卫战）</w:t>
      </w:r>
    </w:p>
    <w:p>
      <w:r>
        <w:rPr>
          <w:rFonts w:ascii="Times New Roman" w:hAnsi="Times New Roman" w:eastAsia="黑体"/>
          <w:b/>
          <w:color w:val="1F4E79"/>
          <w:sz w:val="22"/>
        </w:rPr>
        <w:t>【实验内容】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复用本文的相位检测器、触发节奏与安全层，仅用人工规则替换 LLM 的建议生成，回答审稿人最致命的问题："一个精心设计的规则控制器能否达到同样效果？"这是保住本文 novelty 的关键实验，优先级与 E1 并列。</w:t>
      </w:r>
    </w:p>
    <w:p>
      <w:r>
        <w:rPr>
          <w:rFonts w:ascii="Times New Roman" w:hAnsi="Times New Roman" w:eastAsia="黑体"/>
          <w:b/>
          <w:color w:val="1F4E79"/>
          <w:sz w:val="22"/>
        </w:rPr>
        <w:t>【技术路径】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① 示例规则（可在调试中改进，但改进过程要留痕）：Early 相每次咨询 β←min(1.3β, β_max)、wp←1.1wp；Mid 相按归一化误差缺口调整——跟随误差偏高则 wp←1.1wp，编队误差占比高则 wf←1.15wf，同时 β←0.9β 逐步收敛；Late 相冻结 ws 与 β，仅允许 wp/wf 保守微调（与本文安全层 Late 白名单一致）；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② 规则的所有输出同样走安全层四检查（白名单/限数/乘性有界+平滑/最小变化过滤），保证与 LLM 路线唯一差异只在"建议来源"；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③ 触发节奏与 Ours 完全一致（同相位检测器、同咨询间隔），N=10 同种子配对。</w:t>
      </w:r>
    </w:p>
    <w:p>
      <w:r>
        <w:rPr>
          <w:rFonts w:ascii="Times New Roman" w:hAnsi="Times New Roman" w:eastAsia="黑体"/>
          <w:b/>
          <w:color w:val="1F4E79"/>
          <w:sz w:val="22"/>
        </w:rPr>
        <w:t>【注意要点】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规则要"给足诚意"，最好请不熟悉本项目的同学按文档独立实现一版——审稿人最容易攻击的就是"规则基线太弱是稻草人"；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规则设计者不要先看 LLM 的历史建议日志，避免无意识抄袭 LLM 策略，保证对照的独立性；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两种结果走向都有话说（文档3 6.2 节已备好两套措辞）：LLM 胜出→论证语义推理能联合解读冲突信号（如跟随误差上升+成功率饱和并存），规则只盯单一信号做不到；打平→改写为"LLM 以可复用的语义接口替代了逐任务手调控制律的专家负担"，贡献照样成立。</w:t>
      </w:r>
    </w:p>
    <w:p>
      <w:r>
        <w:rPr>
          <w:rFonts w:ascii="Times New Roman" w:hAnsi="Times New Roman" w:eastAsia="黑体"/>
          <w:b/>
          <w:color w:val="1F4E79"/>
          <w:sz w:val="22"/>
        </w:rPr>
        <w:t>【验收标准】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表9 新增 Rule-based Phase Controller 行（六项指标齐全）；6.2 节"Necessity of the LLM component"按实际结果走向完成回填。</w:t>
      </w:r>
    </w:p>
    <w:p>
      <w:r>
        <w:rPr>
          <w:rFonts w:ascii="Times New Roman" w:hAnsi="Times New Roman" w:eastAsia="黑体"/>
          <w:b/>
          <w:color w:val="2E7D32"/>
          <w:sz w:val="28"/>
        </w:rPr>
        <w:t>六、E4 路线与初始化鲁棒性（P1，保底必做）</w:t>
      </w:r>
    </w:p>
    <w:p>
      <w:r>
        <w:rPr>
          <w:rFonts w:ascii="Times New Roman" w:hAnsi="Times New Roman" w:eastAsia="黑体"/>
          <w:b/>
          <w:color w:val="1F4E79"/>
          <w:sz w:val="22"/>
        </w:rPr>
        <w:t>【实验内容】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领导者路线由单一 (0,0)→(200,200)m 扩展至至少 3 条（建议 (200,200)、(300,100)、(150,300)m），跟随者初始位置在有界区域内随机化，主对比（至少 Ours vs MAPPO）在新路线上重跑，每配置 ≥5 次。</w:t>
      </w:r>
    </w:p>
    <w:p>
      <w:r>
        <w:rPr>
          <w:rFonts w:ascii="Times New Roman" w:hAnsi="Times New Roman" w:eastAsia="黑体"/>
          <w:b/>
          <w:color w:val="1F4E79"/>
          <w:sz w:val="22"/>
        </w:rPr>
        <w:t>【技术路径】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① 路线与初始位置全部 config 参数化，随机初始化的采样范围写入附录；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② 直接迁移 E1 冻结的超参与相位阈值，不做任何重调——这才叫鲁棒性验证；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③ 报告口径不变：六项指标＋与 MAPPO 的配对检验。</w:t>
      </w:r>
    </w:p>
    <w:p>
      <w:r>
        <w:rPr>
          <w:rFonts w:ascii="Times New Roman" w:hAnsi="Times New Roman" w:eastAsia="黑体"/>
          <w:b/>
          <w:color w:val="1F4E79"/>
          <w:sz w:val="22"/>
        </w:rPr>
        <w:t>【注意要点】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若新路线上性能明显退化：如实报告，并在 Discussion 分析原因（如相位阈值与路线长度耦合——60m/30m 阈值在长路线上触发时机变化），这反而是有价值的发现；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退化明显时不许偷偷重调阈值再报"鲁棒"；可以补一组"阈值随路线长度自适应"的延伸实验，但那属于 future work 叙事。</w:t>
      </w:r>
    </w:p>
    <w:p>
      <w:r>
        <w:rPr>
          <w:rFonts w:ascii="Times New Roman" w:hAnsi="Times New Roman" w:eastAsia="黑体"/>
          <w:b/>
          <w:color w:val="1F4E79"/>
          <w:sz w:val="22"/>
        </w:rPr>
        <w:t>【验收标准】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3 条路线×2 方法的结果表；Discussion 鲁棒性段落有据可依。</w:t>
      </w:r>
    </w:p>
    <w:p>
      <w:r>
        <w:rPr>
          <w:rFonts w:ascii="Times New Roman" w:hAnsi="Times New Roman" w:eastAsia="黑体"/>
          <w:b/>
          <w:sz w:val="28"/>
        </w:rPr>
        <w:t>七、E5 编队规模泛化（P2，可选）</w:t>
      </w:r>
    </w:p>
    <w:p>
      <w:r>
        <w:rPr>
          <w:rFonts w:ascii="Times New Roman" w:hAnsi="Times New Roman" w:eastAsia="黑体"/>
          <w:b/>
          <w:color w:val="1F4E79"/>
          <w:sz w:val="22"/>
        </w:rPr>
        <w:t>【实验内容】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训练好的策略在 6 架、8 架跟随者编队上做 zero-shot 评估，及 100 回合轻量微调后的评估。</w:t>
      </w:r>
    </w:p>
    <w:p>
      <w:r>
        <w:rPr>
          <w:rFonts w:ascii="Times New Roman" w:hAnsi="Times New Roman" w:eastAsia="黑体"/>
          <w:b/>
          <w:color w:val="1F4E79"/>
          <w:sz w:val="22"/>
        </w:rPr>
        <w:t>【技术路径】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① 先查观测构造：actor 的 14 维观测是 agent-centric（自身+目标+领导者相对信息），与编队规模无关，actor 理论上可直接 zero-shot；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② 但 critic 的 22 维全局状态包含全部跟随者信息，规模变化后维度不匹配——CTDE 下 zero-shot 评估需改用"去中心化执行"模式（绕过 critic，只用 actor 推理）；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③ 微调版：固定 actor 前层或全量小学习率（如 1e-5）微调 100 回合。</w:t>
      </w:r>
    </w:p>
    <w:p>
      <w:r>
        <w:rPr>
          <w:rFonts w:ascii="Times New Roman" w:hAnsi="Times New Roman" w:eastAsia="黑体"/>
          <w:b/>
          <w:color w:val="1F4E79"/>
          <w:sz w:val="22"/>
        </w:rPr>
        <w:t>【注意要点】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规模变化后相位检测阈值（基于全队统计量）可能漂移，报告中需说明阈值是否重标定；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本实验定位是"泛化性初探"，结果不完美也可以写进 Discussion，不要为它返工主实验。</w:t>
      </w:r>
    </w:p>
    <w:p>
      <w:r>
        <w:rPr>
          <w:rFonts w:ascii="Times New Roman" w:hAnsi="Times New Roman" w:eastAsia="黑体"/>
          <w:b/>
          <w:sz w:val="28"/>
        </w:rPr>
        <w:t>八、E6 噪声鲁棒性（P2，可选）</w:t>
      </w:r>
    </w:p>
    <w:p>
      <w:r>
        <w:rPr>
          <w:rFonts w:ascii="Times New Roman" w:hAnsi="Times New Roman" w:eastAsia="黑体"/>
          <w:b/>
          <w:color w:val="1F4E79"/>
          <w:sz w:val="22"/>
        </w:rPr>
        <w:t>【实验内容】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观测加零均值高斯噪声（σ=0.5/1.0 m 两档）、执行动作加噪声（σ=0.05/0.1 两档），报告各方法相对无噪声情形的性能退化率。</w:t>
      </w:r>
    </w:p>
    <w:p>
      <w:r>
        <w:rPr>
          <w:rFonts w:ascii="Times New Roman" w:hAnsi="Times New Roman" w:eastAsia="黑体"/>
          <w:b/>
          <w:color w:val="1F4E79"/>
          <w:sz w:val="22"/>
        </w:rPr>
        <w:t>【技术路径】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噪声在环境 wrapper 层注入，不动模型代码；退化率＝(噪声指标−干净指标)/干净指标，逐方法对比；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每配置 ≥5 次独立运行，只跑 Ours 与 MAPPO 即可把成本砍半。</w:t>
      </w:r>
    </w:p>
    <w:p>
      <w:r>
        <w:rPr>
          <w:rFonts w:ascii="Times New Roman" w:hAnsi="Times New Roman" w:eastAsia="黑体"/>
          <w:b/>
          <w:color w:val="1F4E79"/>
          <w:sz w:val="22"/>
        </w:rPr>
        <w:t>【注意要点】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本文 LLM 干预基于滑动窗口统计量，天然对瞬时噪声有一定平滑——若 Ours 退化率低于 MAPPO，这是卖点，写入 Discussion；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噪声档位若导致全员无法完成任务，说明档位过激，下调后重跑并在附录说明选档依据。</w:t>
      </w:r>
    </w:p>
    <w:p>
      <w:r>
        <w:rPr>
          <w:rFonts w:ascii="Times New Roman" w:hAnsi="Times New Roman" w:eastAsia="黑体"/>
          <w:b/>
          <w:color w:val="C00000"/>
          <w:sz w:val="28"/>
        </w:rPr>
        <w:t>九、E7 开销与解析审计（P0，纯日志统计，今天就能做）</w:t>
      </w:r>
    </w:p>
    <w:p>
      <w:r>
        <w:rPr>
          <w:rFonts w:ascii="Times New Roman" w:hAnsi="Times New Roman" w:eastAsia="黑体"/>
          <w:b/>
          <w:color w:val="1F4E79"/>
          <w:sz w:val="22"/>
        </w:rPr>
        <w:t>【实验内容】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从已有训练日志中统计：LLM 单次咨询延迟分布、元控制带来的总 wall-clock 增量（相对 MAPPO）、咨询总次数、正则解析成功率、安全层逐级拒绝率（授权/裁剪/平滑/最小变化）。补齐"低成本元控制"叙事的实测证据。</w:t>
      </w:r>
    </w:p>
    <w:p>
      <w:r>
        <w:rPr>
          <w:rFonts w:ascii="Times New Roman" w:hAnsi="Times New Roman" w:eastAsia="黑体"/>
          <w:b/>
          <w:color w:val="1F4E79"/>
          <w:sz w:val="22"/>
        </w:rPr>
        <w:t>【技术路径】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① 写 pandas 脚本扫描全部 run 日志，输出：延迟均值/中位数/P95/最大值、每 run 咨询计数、解析成功率、四级拒绝率漏斗表；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② 对照表：MAPPO 纯训练 wall-clock vs Ours 总 wall-clock，算出元控制开销占比（预期 &lt;5%，用实测值）；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③ 确定性验证：从日志抽 3 个真实 prompt，在 temperature=0.0 下各重放 3 次，报告输出一致性——回应"14B 蒸馏模型输出是否稳定"的审稿疑问；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④ 附录整理 2–3 个真实 prompt-response 示例（Early/Mid/Late 各一），含解析与过滤过程。</w:t>
      </w:r>
    </w:p>
    <w:p>
      <w:r>
        <w:rPr>
          <w:rFonts w:ascii="Times New Roman" w:hAnsi="Times New Roman" w:eastAsia="黑体"/>
          <w:b/>
          <w:color w:val="1F4E79"/>
          <w:sz w:val="22"/>
        </w:rPr>
        <w:t>【注意要点】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若解析失败率 &gt;10%：不能藏，如实报告并说明失败建议被安全层忽略、不影响训练稳定性——这正是安全层存在的论据；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延迟若出现个别超长尾（如 &gt;5 min），检查是否 Ollama 冷启动或显存交换，在附录解释；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本实验零训练成本，建议本周内完成，先把表填起来提振士气。</w:t>
      </w:r>
    </w:p>
    <w:p>
      <w:r>
        <w:rPr>
          <w:rFonts w:ascii="Times New Roman" w:hAnsi="Times New Roman" w:eastAsia="黑体"/>
          <w:b/>
          <w:color w:val="1F4E79"/>
          <w:sz w:val="22"/>
        </w:rPr>
        <w:t>【验收标准】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开销表＋解析率漏斗表生成；附录 prompt-response 示例到位；文档3 对应 [TO BE ADDED] 回填。</w:t>
      </w:r>
    </w:p>
    <w:p>
      <w:r>
        <w:rPr>
          <w:rFonts w:ascii="Times New Roman" w:hAnsi="Times New Roman" w:eastAsia="黑体"/>
          <w:b/>
          <w:color w:val="2E7D32"/>
          <w:sz w:val="28"/>
        </w:rPr>
        <w:t>十、E8 相位超参敏感性（P1）</w:t>
      </w:r>
    </w:p>
    <w:p>
      <w:r>
        <w:rPr>
          <w:rFonts w:ascii="Times New Roman" w:hAnsi="Times New Roman" w:eastAsia="黑体"/>
          <w:b/>
          <w:color w:val="1F4E79"/>
          <w:sz w:val="22"/>
        </w:rPr>
        <w:t>【实验内容】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对相位转移阈值（0.05/60m、0.80/30m）与耐心计数 5 做 ±50% 扰动，每档 3–5 次运行，回答"换个阈值结论还成立吗"。</w:t>
      </w:r>
    </w:p>
    <w:p>
      <w:r>
        <w:rPr>
          <w:rFonts w:ascii="Times New Roman" w:hAnsi="Times New Roman" w:eastAsia="黑体"/>
          <w:b/>
          <w:color w:val="1F4E79"/>
          <w:sz w:val="22"/>
        </w:rPr>
        <w:t>【技术路径】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只扰动阈值不动其余配置；报告主指标相对默认值的变动幅度；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保底方案（零实验）：从 E1 训练曲线截取相位切换点附近窗口，在附录图示说明阈值选取与曲线拐点吻合。</w:t>
      </w:r>
    </w:p>
    <w:p>
      <w:r>
        <w:rPr>
          <w:rFonts w:ascii="Times New Roman" w:hAnsi="Times New Roman" w:eastAsia="黑体"/>
          <w:b/>
          <w:color w:val="1F4E79"/>
          <w:sz w:val="22"/>
        </w:rPr>
        <w:t>【注意要点】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敏感性强不是灾难：报告后在 Discussion 给出"阈值与任务尺度耦合"的分析即可；敏感性与鲁棒性叙事冲突时，以数据为准。</w:t>
      </w:r>
    </w:p>
    <w:p>
      <w:r>
        <w:rPr>
          <w:rFonts w:ascii="Times New Roman" w:hAnsi="Times New Roman" w:eastAsia="黑体"/>
          <w:b/>
          <w:sz w:val="28"/>
        </w:rPr>
        <w:t>十一、工程实施规范</w:t>
      </w:r>
    </w:p>
    <w:p>
      <w:r>
        <w:rPr>
          <w:rFonts w:ascii="Times New Roman" w:hAnsi="Times New Roman" w:eastAsia="黑体"/>
          <w:b/>
          <w:color w:val="1F4E79"/>
          <w:sz w:val="22"/>
        </w:rPr>
        <w:t>11.1 代码改造清单（开工前一次性完成）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seed 统一入口：环境/numpy/torch/LLM 咨询顺序四路同源；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config 化：方法开关、消融开关、路线、噪声、阈值全部进 config 文件，禁止硬编码分支；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日志 schema 统一（见 11.3）；支持断点续跑（checkpoint 每 100 回合落盘）；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git 管理：每个实验批次打 tag，run 日志记录 commit 哈希，保证可回溯。</w:t>
      </w:r>
    </w:p>
    <w:p>
      <w:r>
        <w:rPr>
          <w:rFonts w:ascii="Times New Roman" w:hAnsi="Times New Roman" w:eastAsia="黑体"/>
          <w:b/>
          <w:color w:val="1F4E79"/>
          <w:sz w:val="22"/>
        </w:rPr>
        <w:t>11.2 运行管理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先实测单次机时 t，再按表1排并行；P0 批优先独占 GPU；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每 run 启动前自动备份 config 快照；失败 run 标记原因后重跑，不得静默丢弃。</w:t>
      </w:r>
    </w:p>
    <w:p>
      <w:r>
        <w:rPr>
          <w:rFonts w:ascii="Times New Roman" w:hAnsi="Times New Roman" w:eastAsia="黑体"/>
          <w:b/>
          <w:color w:val="1F4E79"/>
          <w:sz w:val="22"/>
        </w:rPr>
        <w:t>11.3 数据记录 schema（每 run 一行 CSV）</w:t>
      </w:r>
    </w:p>
    <w:p>
      <w:pPr>
        <w:ind w:left="360"/>
      </w:pPr>
      <w:r>
        <w:rPr>
          <w:rFonts w:ascii="Consolas" w:hAnsi="Consolas" w:eastAsia="宋体"/>
          <w:b w:val="0"/>
          <w:sz w:val="18"/>
        </w:rPr>
        <w:t>run_id, method, seed, n_followers, route, noise_obs, noise_act,</w:t>
        <w:br/>
        <w:t>first_success_ep, stable_breakthrough_ep, final_follow_err,</w:t>
        <w:br/>
        <w:t>final_formation_err, final_success_rate, n_interventions,</w:t>
        <w:br/>
        <w:t>n_consultations, parse_success_rate, wallclock_hours,</w:t>
        <w:br/>
        <w:t>llm_latency_mean_s, git_commit, config_tag</w:t>
      </w:r>
    </w:p>
    <w:p>
      <w:r>
        <w:rPr>
          <w:rFonts w:ascii="Times New Roman" w:hAnsi="Times New Roman" w:eastAsia="黑体"/>
          <w:b/>
          <w:color w:val="1F4E79"/>
          <w:sz w:val="22"/>
        </w:rPr>
        <w:t>11.4 统计分析代码模板（scipy）</w:t>
      </w:r>
    </w:p>
    <w:p>
      <w:pPr>
        <w:ind w:left="360"/>
      </w:pPr>
      <w:r>
        <w:rPr>
          <w:rFonts w:ascii="Consolas" w:hAnsi="Consolas" w:eastAsia="宋体"/>
          <w:b w:val="0"/>
          <w:sz w:val="18"/>
        </w:rPr>
        <w:t>import numpy as np</w:t>
        <w:br/>
        <w:t>from scipy import stats</w:t>
        <w:br/>
        <w:br/>
        <w:t>def compare(x_ours, x_base, paired=True, alpha=0.05):</w:t>
        <w:br/>
        <w:t xml:space="preserve">    # 1) 正态性检验</w:t>
        <w:br/>
        <w:t xml:space="preserve">    normal = all(stats.shapiro(x)[1] &gt; alpha</w:t>
        <w:br/>
        <w:t xml:space="preserve">                 for x in (x_ours, x_base))</w:t>
        <w:br/>
        <w:t xml:space="preserve">    # 2) 选择检验方法</w:t>
        <w:br/>
        <w:t xml:space="preserve">    if normal:</w:t>
        <w:br/>
        <w:t xml:space="preserve">        p = (stats.ttest_rel if paired else</w:t>
        <w:br/>
        <w:t xml:space="preserve">             lambda a, b: stats.ttest_ind(a, b, equal_var=False))(x_ours, x_base)[1]</w:t>
        <w:br/>
        <w:t xml:space="preserve">        d = (np.mean(x_ours) - np.mean(x_base)) / np.sqrt(</w:t>
        <w:br/>
        <w:t xml:space="preserve">            (np.var(x_ours, ddof=1) + np.var(x_base, ddof=1)) / 2)</w:t>
        <w:br/>
        <w:t xml:space="preserve">        eff, name = d, "Cohen's d"</w:t>
        <w:br/>
        <w:t xml:space="preserve">    else:</w:t>
        <w:br/>
        <w:t xml:space="preserve">        p = (stats.wilcoxon if paired else</w:t>
        <w:br/>
        <w:t xml:space="preserve">             stats.mannwhitneyu)(x_ours, x_base)[1]</w:t>
        <w:br/>
        <w:t xml:space="preserve">        u = stats.mannwhitneyu(x_ours, x_base)[0]</w:t>
        <w:br/>
        <w:t xml:space="preserve">        eff, name = 1 - 2 * u / (len(x_ours) * len(x_base)), "rank-biserial r"</w:t>
        <w:br/>
        <w:t xml:space="preserve">    # 3) 95% CI（均值差，百分位 bootstrap，10000 次）</w:t>
        <w:br/>
        <w:t xml:space="preserve">    rng = np.random.default_rng(0)</w:t>
        <w:br/>
        <w:t xml:space="preserve">    diffs = [np.mean(rng.choice(x_ours, len(x_ours)))</w:t>
        <w:br/>
        <w:t xml:space="preserve">             - np.mean(rng.choice(x_base, len(x_base)))</w:t>
        <w:br/>
        <w:t xml:space="preserve">             for _ in range(10000)]</w:t>
        <w:br/>
        <w:t xml:space="preserve">    ci = np.percentile(diffs, [2.5, 97.5])</w:t>
        <w:br/>
        <w:t xml:space="preserve">    return p, eff, name, ci</w:t>
        <w:br/>
        <w:br/>
        <w:t># 多指标对比后做 Holm 校正：statsmodels.stats.multitest.multipletests(ps, method="holm")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判读口径：|d|≥0.8 大效应、0.5 中、0.2 小；p 与效应量同时报告，不只看 p。</w:t>
      </w:r>
    </w:p>
    <w:p>
      <w:r>
        <w:rPr>
          <w:rFonts w:ascii="Times New Roman" w:hAnsi="Times New Roman" w:eastAsia="黑体"/>
          <w:b/>
          <w:color w:val="C00000"/>
          <w:sz w:val="28"/>
        </w:rPr>
        <w:t>十二、学术诚信红线与质量控制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C00000"/>
          <w:sz w:val="22"/>
        </w:rPr>
        <w:t>① 红色 [TO BE ADDED] 占位必须先有真实数据再回填，严禁任何"先填个差不多的数"；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② 种子预注册后不得更换、剔除失败 run 必须留痕并说明原因；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③ 统计不显著就如实改写措辞，宁可降级结论也不夸大；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④ 全部 run 的原始日志保留至论文录用（审稿人可能抽查）；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⑤ 规则基线（E3）必须独立实现，禁止从 LLM 日志反推规则；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⑥ 任何人（含导师）不得要求学生"做出显著结果"——数据是什么就报什么。</w:t>
      </w:r>
    </w:p>
    <w:p>
      <w:r>
        <w:rPr>
          <w:rFonts w:ascii="Times New Roman" w:hAnsi="Times New Roman" w:eastAsia="黑体"/>
          <w:b/>
          <w:sz w:val="28"/>
        </w:rPr>
        <w:t>十三、6–8 周执行排期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第 1 周：代码改造（11.1）＋ E7 日志审计完成＋实测单次机时 t；E1 开跑；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第 2–3 周：E1 全部 40 runs 完成，统计分析跑通，表9 升级版回填；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第 3–4 周：E2 六变体、E3 规则基线并行开跑；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第 4–5 周：E2/E3 收尾，消融表与 6.2 节回填；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第 5–6 周：E4 三路线鲁棒性＋E8 阈值敏感性；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第 6–8 周：视算力做 E5/E6；Discussion/局限段定稿；全文回填核对（对照第十四节）。</w:t>
      </w:r>
    </w:p>
    <w:p>
      <w:r>
        <w:rPr>
          <w:rFonts w:ascii="Times New Roman" w:hAnsi="Times New Roman" w:eastAsia="黑体"/>
          <w:b/>
          <w:sz w:val="28"/>
        </w:rPr>
        <w:t>十四、与文档3回填位置对照表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E1 → 摘要 [N]/[检验方法]、3.8 节、表9 升级版（95% CI/p/效应量列）；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E2 → 5.7 节消融表＋两段解读；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E3 → 表9 新增行、6.2 节"Necessity of the LLM component"（两种走向二选一）；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E4–E6 → 5.x 鲁棒性小节与 Discussion 局限段；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E7 → 开销表、解析率漏斗、附录 prompt-response 示例；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E8 → 5.7 节敏感性段或附录。</w:t>
      </w:r>
    </w:p>
    <w:p>
      <w:pPr>
        <w:jc w:val="center"/>
      </w:pPr>
      <w:r>
        <w:rPr>
          <w:rFonts w:ascii="Times New Roman" w:hAnsi="Times New Roman" w:eastAsia="楷体"/>
          <w:b w:val="0"/>
          <w:sz w:val="18"/>
        </w:rPr>
        <w:t>—— 先出数据，再填文档；红线问题零容忍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