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8月工作汇报：Phi-2端侧微调量化、指令解析全链路Demo与相位协同机制预研</w:t>
      </w:r>
    </w:p>
    <w:p>
      <w:pPr>
        <w:spacing w:before="200" w:after="120"/>
      </w:pPr>
      <w:r>
        <w:rPr>
          <w:rFonts w:ascii="黑体" w:hAnsi="黑体" w:eastAsia="黑体"/>
          <w:b/>
          <w:sz w:val="26"/>
        </w:rPr>
        <w:t>一、本月工作进展总结</w:t>
      </w:r>
    </w:p>
    <w:p>
      <w:pPr>
        <w:spacing w:after="80" w:line="336" w:lineRule="auto"/>
        <w:ind w:firstLine="480"/>
      </w:pPr>
      <w:r>
        <w:rPr>
          <w:rFonts w:ascii="Times New Roman" w:hAnsi="Times New Roman" w:eastAsia="仿宋"/>
          <w:b w:val="0"/>
          <w:sz w:val="24"/>
        </w:rPr>
        <w:t>本月我的工作主要围绕"任务清单四项任务的落地"与"研究主线创新点的提前验证"两条线展开。任务清单中的四项任务（Phi-2 QLoRA微调复现、师兄论文研读、端侧指令解析Demo、多机集群扩展至两架）已全部完成且两项超额。在此基础上，我利用剩余时间提前启动了导师确定的研究主线"相位感知的端侧轻量化LLM元控制器"中创新点1和创新点2的可行性验证，完成了五轮微调迭代（含两项有价值的负结果），为研一上学期的论文工作积累了包含完整消融链在内的核心实验数据。</w:t>
      </w:r>
    </w:p>
    <w:p>
      <w:pPr>
        <w:spacing w:after="80" w:line="336" w:lineRule="auto"/>
        <w:ind w:firstLine="480"/>
      </w:pPr>
      <w:r>
        <w:rPr>
          <w:rFonts w:ascii="Times New Roman" w:hAnsi="Times New Roman" w:eastAsia="仿宋"/>
          <w:b w:val="0"/>
          <w:sz w:val="24"/>
        </w:rPr>
        <w:t>从量化角度看，本月共完成9次模型训练（累计训练时长约2.2小时），产出GGUF量化模型11个（覆盖五档格式与五轮相位迭代版本），构建数据集6个版本（累计1524条样本），开发脚本16个，整理文档9份。以下按任务清单逐项汇报具体工作。</w:t>
      </w:r>
    </w:p>
    <w:p>
      <w:pPr>
        <w:spacing w:before="200" w:after="120"/>
      </w:pPr>
      <w:r>
        <w:rPr>
          <w:rFonts w:ascii="黑体" w:hAnsi="黑体" w:eastAsia="黑体"/>
          <w:b/>
          <w:sz w:val="26"/>
        </w:rPr>
        <w:t>二、核心工作一：Phi-2端侧微调与量化部署</w:t>
      </w:r>
    </w:p>
    <w:p>
      <w:pPr>
        <w:spacing w:before="160" w:after="80"/>
      </w:pPr>
      <w:r>
        <w:rPr>
          <w:rFonts w:ascii="黑体" w:hAnsi="黑体" w:eastAsia="黑体"/>
          <w:b/>
          <w:sz w:val="24"/>
        </w:rPr>
        <w:t>1. 从"无法运行"到"完全复现"</w:t>
      </w:r>
    </w:p>
    <w:p>
      <w:pPr>
        <w:spacing w:after="80" w:line="336" w:lineRule="auto"/>
        <w:ind w:firstLine="480"/>
      </w:pPr>
      <w:r>
        <w:rPr>
          <w:rFonts w:ascii="Times New Roman" w:hAnsi="Times New Roman" w:eastAsia="仿宋"/>
          <w:b w:val="0"/>
          <w:sz w:val="24"/>
        </w:rPr>
        <w:t>月初拿到的IEEE Access论文配套样本只有2条训练数据和一段一体化脚本，存在多个系统性问题导致完全无法运行。我逐一排查修复了其中最关键的四个：一是huggingface.co在本机持续超时，改用ModelScope镜像后解决；二是pytorch被默认源安装为纯CPU版本，GPU利用率仅6%，从CUDA索引重装后恢复正常；三是fp16训练在RTX 3060上因GradScaler与bf16梯度不兼容而崩溃，改用原生支持的bf16后稳定；四是trl 1.9.2的API与样本代码不匹配，迁移到SFTConfig新接口。</w:t>
      </w:r>
    </w:p>
    <w:p>
      <w:pPr>
        <w:spacing w:after="80" w:line="336" w:lineRule="auto"/>
        <w:ind w:firstLine="480"/>
      </w:pPr>
      <w:r>
        <w:rPr>
          <w:rFonts w:ascii="Times New Roman" w:hAnsi="Times New Roman" w:eastAsia="仿宋"/>
          <w:b w:val="0"/>
          <w:sz w:val="24"/>
        </w:rPr>
        <w:t>环境修复后，原始2条样本远不足以训练出可靠的解析能力。我通过三轮数据扩充（74条→94条→109条），针对性解决阵型字段混淆和最简表述误判问题，最终形成覆盖5种阵型、2至5架无人机、正负小数坐标的109条均衡数据集。训练结果：JSON解析准确率100%（16/16独立测试集），训练loss从2.76降至0.33，峰值显存5265MB，全程无OOM。</w:t>
      </w:r>
    </w:p>
    <w:p>
      <w:pPr>
        <w:spacing w:before="160" w:after="80"/>
      </w:pPr>
      <w:r>
        <w:rPr>
          <w:rFonts w:ascii="黑体" w:hAnsi="黑体" w:eastAsia="黑体"/>
          <w:b/>
          <w:sz w:val="24"/>
        </w:rPr>
        <w:t>2. 五档量化系统性基准</w:t>
      </w:r>
    </w:p>
    <w:p>
      <w:pPr>
        <w:spacing w:after="80" w:line="336" w:lineRule="auto"/>
        <w:ind w:firstLine="480"/>
      </w:pPr>
      <w:r>
        <w:rPr>
          <w:rFonts w:ascii="Times New Roman" w:hAnsi="Times New Roman" w:eastAsia="仿宋"/>
          <w:b w:val="0"/>
          <w:sz w:val="24"/>
        </w:rPr>
        <w:t>导师指出"现有文献只有零散做法，没有完整基准，这是你的机会"。为此我对微调后的模型制作了FP16至Q4_K_M五档量化版本，在同一测试集上做了系统对比：</w:t>
      </w:r>
    </w:p>
    <w:p>
      <w:pPr>
        <w:spacing w:before="80" w:after="40"/>
        <w:jc w:val="center"/>
      </w:pPr>
      <w:r>
        <w:rPr>
          <w:rFonts w:ascii="黑体" w:hAnsi="黑体" w:eastAsia="黑体"/>
          <w:b w:val="0"/>
          <w:color w:val="404040"/>
          <w:sz w:val="20"/>
        </w:rPr>
        <w:t>表1 五档量化基准（RTX 3060 Laptop 6GB，16条测试集）</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黑体" w:hAnsi="黑体" w:eastAsia="黑体"/>
                <w:b/>
                <w:sz w:val="18"/>
              </w:rPr>
              <w:t>格式</w:t>
            </w:r>
          </w:p>
        </w:tc>
        <w:tc>
          <w:tcPr>
            <w:tcW w:type="dxa" w:w="1234"/>
          </w:tcPr>
          <w:p>
            <w:pPr>
              <w:jc w:val="center"/>
            </w:pPr>
            <w:r/>
            <w:r>
              <w:rPr>
                <w:rFonts w:ascii="黑体" w:hAnsi="黑体" w:eastAsia="黑体"/>
                <w:b/>
                <w:sz w:val="18"/>
              </w:rPr>
              <w:t>模型大小</w:t>
            </w:r>
          </w:p>
        </w:tc>
        <w:tc>
          <w:tcPr>
            <w:tcW w:type="dxa" w:w="1234"/>
          </w:tcPr>
          <w:p>
            <w:pPr>
              <w:jc w:val="center"/>
            </w:pPr>
            <w:r/>
            <w:r>
              <w:rPr>
                <w:rFonts w:ascii="黑体" w:hAnsi="黑体" w:eastAsia="黑体"/>
                <w:b/>
                <w:sz w:val="18"/>
              </w:rPr>
              <w:t>压缩比</w:t>
            </w:r>
          </w:p>
        </w:tc>
        <w:tc>
          <w:tcPr>
            <w:tcW w:type="dxa" w:w="1234"/>
          </w:tcPr>
          <w:p>
            <w:pPr>
              <w:jc w:val="center"/>
            </w:pPr>
            <w:r/>
            <w:r>
              <w:rPr>
                <w:rFonts w:ascii="黑体" w:hAnsi="黑体" w:eastAsia="黑体"/>
                <w:b/>
                <w:sz w:val="18"/>
              </w:rPr>
              <w:t>JSON准确率</w:t>
            </w:r>
          </w:p>
        </w:tc>
        <w:tc>
          <w:tcPr>
            <w:tcW w:type="dxa" w:w="1234"/>
          </w:tcPr>
          <w:p>
            <w:pPr>
              <w:jc w:val="center"/>
            </w:pPr>
            <w:r/>
            <w:r>
              <w:rPr>
                <w:rFonts w:ascii="黑体" w:hAnsi="黑体" w:eastAsia="黑体"/>
                <w:b/>
                <w:sz w:val="18"/>
              </w:rPr>
              <w:t>吞吐(tok/s)</w:t>
            </w:r>
          </w:p>
        </w:tc>
        <w:tc>
          <w:tcPr>
            <w:tcW w:type="dxa" w:w="1234"/>
          </w:tcPr>
          <w:p>
            <w:pPr>
              <w:jc w:val="center"/>
            </w:pPr>
            <w:r/>
            <w:r>
              <w:rPr>
                <w:rFonts w:ascii="黑体" w:hAnsi="黑体" w:eastAsia="黑体"/>
                <w:b/>
                <w:sz w:val="18"/>
              </w:rPr>
              <w:t>延迟(ms/tok)</w:t>
            </w:r>
          </w:p>
        </w:tc>
        <w:tc>
          <w:tcPr>
            <w:tcW w:type="dxa" w:w="1234"/>
          </w:tcPr>
          <w:p>
            <w:pPr>
              <w:jc w:val="center"/>
            </w:pPr>
            <w:r/>
            <w:r>
              <w:rPr>
                <w:rFonts w:ascii="黑体" w:hAnsi="黑体" w:eastAsia="黑体"/>
                <w:b/>
                <w:sz w:val="18"/>
              </w:rPr>
              <w:t>显存(MB)</w:t>
            </w:r>
          </w:p>
        </w:tc>
      </w:tr>
      <w:tr>
        <w:tc>
          <w:tcPr>
            <w:tcW w:type="dxa" w:w="1234"/>
          </w:tcPr>
          <w:p>
            <w:r/>
            <w:r>
              <w:rPr>
                <w:rFonts w:ascii="Times New Roman" w:hAnsi="Times New Roman" w:eastAsia="仿宋"/>
                <w:b w:val="0"/>
                <w:sz w:val="18"/>
              </w:rPr>
              <w:t>FP16</w:t>
            </w:r>
          </w:p>
        </w:tc>
        <w:tc>
          <w:tcPr>
            <w:tcW w:type="dxa" w:w="1234"/>
          </w:tcPr>
          <w:p>
            <w:r/>
            <w:r>
              <w:rPr>
                <w:rFonts w:ascii="Times New Roman" w:hAnsi="Times New Roman" w:eastAsia="仿宋"/>
                <w:b w:val="0"/>
                <w:sz w:val="18"/>
              </w:rPr>
              <w:t>5.18 GB</w:t>
            </w:r>
          </w:p>
        </w:tc>
        <w:tc>
          <w:tcPr>
            <w:tcW w:type="dxa" w:w="1234"/>
          </w:tcPr>
          <w:p>
            <w:r/>
            <w:r>
              <w:rPr>
                <w:rFonts w:ascii="Times New Roman" w:hAnsi="Times New Roman" w:eastAsia="仿宋"/>
                <w:b w:val="0"/>
                <w:sz w:val="18"/>
              </w:rPr>
              <w:t>1.0x</w:t>
            </w:r>
          </w:p>
        </w:tc>
        <w:tc>
          <w:tcPr>
            <w:tcW w:type="dxa" w:w="1234"/>
          </w:tcPr>
          <w:p>
            <w:r/>
            <w:r>
              <w:rPr>
                <w:rFonts w:ascii="Times New Roman" w:hAnsi="Times New Roman" w:eastAsia="仿宋"/>
                <w:b w:val="0"/>
                <w:sz w:val="18"/>
              </w:rPr>
              <w:t>100% (16/16)</w:t>
            </w:r>
          </w:p>
        </w:tc>
        <w:tc>
          <w:tcPr>
            <w:tcW w:type="dxa" w:w="1234"/>
          </w:tcPr>
          <w:p>
            <w:r/>
            <w:r>
              <w:rPr>
                <w:rFonts w:ascii="Times New Roman" w:hAnsi="Times New Roman" w:eastAsia="仿宋"/>
                <w:b w:val="0"/>
                <w:sz w:val="18"/>
              </w:rPr>
              <w:t>18.7</w:t>
            </w:r>
          </w:p>
        </w:tc>
        <w:tc>
          <w:tcPr>
            <w:tcW w:type="dxa" w:w="1234"/>
          </w:tcPr>
          <w:p>
            <w:r/>
            <w:r>
              <w:rPr>
                <w:rFonts w:ascii="Times New Roman" w:hAnsi="Times New Roman" w:eastAsia="仿宋"/>
                <w:b w:val="0"/>
                <w:sz w:val="18"/>
              </w:rPr>
              <w:t>53.6</w:t>
            </w:r>
          </w:p>
        </w:tc>
        <w:tc>
          <w:tcPr>
            <w:tcW w:type="dxa" w:w="1234"/>
          </w:tcPr>
          <w:p>
            <w:r/>
            <w:r>
              <w:rPr>
                <w:rFonts w:ascii="Times New Roman" w:hAnsi="Times New Roman" w:eastAsia="仿宋"/>
                <w:b w:val="0"/>
                <w:sz w:val="18"/>
              </w:rPr>
              <w:t>6041</w:t>
            </w:r>
          </w:p>
        </w:tc>
      </w:tr>
      <w:tr>
        <w:tc>
          <w:tcPr>
            <w:tcW w:type="dxa" w:w="1234"/>
          </w:tcPr>
          <w:p>
            <w:r/>
            <w:r>
              <w:rPr>
                <w:rFonts w:ascii="Times New Roman" w:hAnsi="Times New Roman" w:eastAsia="仿宋"/>
                <w:b w:val="0"/>
                <w:sz w:val="18"/>
              </w:rPr>
              <w:t>Q8_0</w:t>
            </w:r>
          </w:p>
        </w:tc>
        <w:tc>
          <w:tcPr>
            <w:tcW w:type="dxa" w:w="1234"/>
          </w:tcPr>
          <w:p>
            <w:r/>
            <w:r>
              <w:rPr>
                <w:rFonts w:ascii="Times New Roman" w:hAnsi="Times New Roman" w:eastAsia="仿宋"/>
                <w:b w:val="0"/>
                <w:sz w:val="18"/>
              </w:rPr>
              <w:t>2.75 GB</w:t>
            </w:r>
          </w:p>
        </w:tc>
        <w:tc>
          <w:tcPr>
            <w:tcW w:type="dxa" w:w="1234"/>
          </w:tcPr>
          <w:p>
            <w:r/>
            <w:r>
              <w:rPr>
                <w:rFonts w:ascii="Times New Roman" w:hAnsi="Times New Roman" w:eastAsia="仿宋"/>
                <w:b w:val="0"/>
                <w:sz w:val="18"/>
              </w:rPr>
              <w:t>1.9x</w:t>
            </w:r>
          </w:p>
        </w:tc>
        <w:tc>
          <w:tcPr>
            <w:tcW w:type="dxa" w:w="1234"/>
          </w:tcPr>
          <w:p>
            <w:r/>
            <w:r>
              <w:rPr>
                <w:rFonts w:ascii="Times New Roman" w:hAnsi="Times New Roman" w:eastAsia="仿宋"/>
                <w:b w:val="0"/>
                <w:sz w:val="18"/>
              </w:rPr>
              <w:t>88% (14/16)</w:t>
            </w:r>
          </w:p>
        </w:tc>
        <w:tc>
          <w:tcPr>
            <w:tcW w:type="dxa" w:w="1234"/>
          </w:tcPr>
          <w:p>
            <w:r/>
            <w:r>
              <w:rPr>
                <w:rFonts w:ascii="Times New Roman" w:hAnsi="Times New Roman" w:eastAsia="仿宋"/>
                <w:b w:val="0"/>
                <w:sz w:val="18"/>
              </w:rPr>
              <w:t>72.5</w:t>
            </w:r>
          </w:p>
        </w:tc>
        <w:tc>
          <w:tcPr>
            <w:tcW w:type="dxa" w:w="1234"/>
          </w:tcPr>
          <w:p>
            <w:r/>
            <w:r>
              <w:rPr>
                <w:rFonts w:ascii="Times New Roman" w:hAnsi="Times New Roman" w:eastAsia="仿宋"/>
                <w:b w:val="0"/>
                <w:sz w:val="18"/>
              </w:rPr>
              <w:t>13.8</w:t>
            </w:r>
          </w:p>
        </w:tc>
        <w:tc>
          <w:tcPr>
            <w:tcW w:type="dxa" w:w="1234"/>
          </w:tcPr>
          <w:p>
            <w:r/>
            <w:r>
              <w:rPr>
                <w:rFonts w:ascii="Times New Roman" w:hAnsi="Times New Roman" w:eastAsia="仿宋"/>
                <w:b w:val="0"/>
                <w:sz w:val="18"/>
              </w:rPr>
              <w:t>3967</w:t>
            </w:r>
          </w:p>
        </w:tc>
      </w:tr>
      <w:tr>
        <w:tc>
          <w:tcPr>
            <w:tcW w:type="dxa" w:w="1234"/>
          </w:tcPr>
          <w:p>
            <w:r/>
            <w:r>
              <w:rPr>
                <w:rFonts w:ascii="Times New Roman" w:hAnsi="Times New Roman" w:eastAsia="仿宋"/>
                <w:b w:val="0"/>
                <w:sz w:val="18"/>
              </w:rPr>
              <w:t>Q6_K</w:t>
            </w:r>
          </w:p>
        </w:tc>
        <w:tc>
          <w:tcPr>
            <w:tcW w:type="dxa" w:w="1234"/>
          </w:tcPr>
          <w:p>
            <w:r/>
            <w:r>
              <w:rPr>
                <w:rFonts w:ascii="Times New Roman" w:hAnsi="Times New Roman" w:eastAsia="仿宋"/>
                <w:b w:val="0"/>
                <w:sz w:val="18"/>
              </w:rPr>
              <w:t>2.13 GB</w:t>
            </w:r>
          </w:p>
        </w:tc>
        <w:tc>
          <w:tcPr>
            <w:tcW w:type="dxa" w:w="1234"/>
          </w:tcPr>
          <w:p>
            <w:r/>
            <w:r>
              <w:rPr>
                <w:rFonts w:ascii="Times New Roman" w:hAnsi="Times New Roman" w:eastAsia="仿宋"/>
                <w:b w:val="0"/>
                <w:sz w:val="18"/>
              </w:rPr>
              <w:t>2.4x</w:t>
            </w:r>
          </w:p>
        </w:tc>
        <w:tc>
          <w:tcPr>
            <w:tcW w:type="dxa" w:w="1234"/>
          </w:tcPr>
          <w:p>
            <w:r/>
            <w:r>
              <w:rPr>
                <w:rFonts w:ascii="Times New Roman" w:hAnsi="Times New Roman" w:eastAsia="仿宋"/>
                <w:b w:val="0"/>
                <w:sz w:val="18"/>
              </w:rPr>
              <w:t>100% (16/16)</w:t>
            </w:r>
          </w:p>
        </w:tc>
        <w:tc>
          <w:tcPr>
            <w:tcW w:type="dxa" w:w="1234"/>
          </w:tcPr>
          <w:p>
            <w:r/>
            <w:r>
              <w:rPr>
                <w:rFonts w:ascii="Times New Roman" w:hAnsi="Times New Roman" w:eastAsia="仿宋"/>
                <w:b w:val="0"/>
                <w:sz w:val="18"/>
              </w:rPr>
              <w:t>79.5</w:t>
            </w:r>
          </w:p>
        </w:tc>
        <w:tc>
          <w:tcPr>
            <w:tcW w:type="dxa" w:w="1234"/>
          </w:tcPr>
          <w:p>
            <w:r/>
            <w:r>
              <w:rPr>
                <w:rFonts w:ascii="Times New Roman" w:hAnsi="Times New Roman" w:eastAsia="仿宋"/>
                <w:b w:val="0"/>
                <w:sz w:val="18"/>
              </w:rPr>
              <w:t>12.6</w:t>
            </w:r>
          </w:p>
        </w:tc>
        <w:tc>
          <w:tcPr>
            <w:tcW w:type="dxa" w:w="1234"/>
          </w:tcPr>
          <w:p>
            <w:r/>
            <w:r>
              <w:rPr>
                <w:rFonts w:ascii="Times New Roman" w:hAnsi="Times New Roman" w:eastAsia="仿宋"/>
                <w:b w:val="0"/>
                <w:sz w:val="18"/>
              </w:rPr>
              <w:t>3521</w:t>
            </w:r>
          </w:p>
        </w:tc>
      </w:tr>
      <w:tr>
        <w:tc>
          <w:tcPr>
            <w:tcW w:type="dxa" w:w="1234"/>
          </w:tcPr>
          <w:p>
            <w:r/>
            <w:r>
              <w:rPr>
                <w:rFonts w:ascii="Times New Roman" w:hAnsi="Times New Roman" w:eastAsia="仿宋"/>
                <w:b w:val="0"/>
                <w:sz w:val="18"/>
              </w:rPr>
              <w:t>Q5_K_M</w:t>
            </w:r>
          </w:p>
        </w:tc>
        <w:tc>
          <w:tcPr>
            <w:tcW w:type="dxa" w:w="1234"/>
          </w:tcPr>
          <w:p>
            <w:r/>
            <w:r>
              <w:rPr>
                <w:rFonts w:ascii="Times New Roman" w:hAnsi="Times New Roman" w:eastAsia="仿宋"/>
                <w:b w:val="0"/>
                <w:sz w:val="18"/>
              </w:rPr>
              <w:t>1.87 GB</w:t>
            </w:r>
          </w:p>
        </w:tc>
        <w:tc>
          <w:tcPr>
            <w:tcW w:type="dxa" w:w="1234"/>
          </w:tcPr>
          <w:p>
            <w:r/>
            <w:r>
              <w:rPr>
                <w:rFonts w:ascii="Times New Roman" w:hAnsi="Times New Roman" w:eastAsia="仿宋"/>
                <w:b w:val="0"/>
                <w:sz w:val="18"/>
              </w:rPr>
              <w:t>2.8x</w:t>
            </w:r>
          </w:p>
        </w:tc>
        <w:tc>
          <w:tcPr>
            <w:tcW w:type="dxa" w:w="1234"/>
          </w:tcPr>
          <w:p>
            <w:r/>
            <w:r>
              <w:rPr>
                <w:rFonts w:ascii="Times New Roman" w:hAnsi="Times New Roman" w:eastAsia="仿宋"/>
                <w:b w:val="0"/>
                <w:sz w:val="18"/>
              </w:rPr>
              <w:t>100% (16/16)</w:t>
            </w:r>
          </w:p>
        </w:tc>
        <w:tc>
          <w:tcPr>
            <w:tcW w:type="dxa" w:w="1234"/>
          </w:tcPr>
          <w:p>
            <w:r/>
            <w:r>
              <w:rPr>
                <w:rFonts w:ascii="Times New Roman" w:hAnsi="Times New Roman" w:eastAsia="仿宋"/>
                <w:b w:val="0"/>
                <w:sz w:val="18"/>
              </w:rPr>
              <w:t>87.9</w:t>
            </w:r>
          </w:p>
        </w:tc>
        <w:tc>
          <w:tcPr>
            <w:tcW w:type="dxa" w:w="1234"/>
          </w:tcPr>
          <w:p>
            <w:r/>
            <w:r>
              <w:rPr>
                <w:rFonts w:ascii="Times New Roman" w:hAnsi="Times New Roman" w:eastAsia="仿宋"/>
                <w:b w:val="0"/>
                <w:sz w:val="18"/>
              </w:rPr>
              <w:t>11.4</w:t>
            </w:r>
          </w:p>
        </w:tc>
        <w:tc>
          <w:tcPr>
            <w:tcW w:type="dxa" w:w="1234"/>
          </w:tcPr>
          <w:p>
            <w:r/>
            <w:r>
              <w:rPr>
                <w:rFonts w:ascii="Times New Roman" w:hAnsi="Times New Roman" w:eastAsia="仿宋"/>
                <w:b w:val="0"/>
                <w:sz w:val="18"/>
              </w:rPr>
              <w:t>3044</w:t>
            </w:r>
          </w:p>
        </w:tc>
      </w:tr>
      <w:tr>
        <w:tc>
          <w:tcPr>
            <w:tcW w:type="dxa" w:w="1234"/>
          </w:tcPr>
          <w:p>
            <w:r/>
            <w:r>
              <w:rPr>
                <w:rFonts w:ascii="Times New Roman" w:hAnsi="Times New Roman" w:eastAsia="仿宋"/>
                <w:b w:val="0"/>
                <w:sz w:val="18"/>
              </w:rPr>
              <w:t>Q4_K_M</w:t>
            </w:r>
          </w:p>
        </w:tc>
        <w:tc>
          <w:tcPr>
            <w:tcW w:type="dxa" w:w="1234"/>
          </w:tcPr>
          <w:p>
            <w:r/>
            <w:r>
              <w:rPr>
                <w:rFonts w:ascii="Times New Roman" w:hAnsi="Times New Roman" w:eastAsia="仿宋"/>
                <w:b w:val="0"/>
                <w:sz w:val="18"/>
              </w:rPr>
              <w:t>1.62 GB</w:t>
            </w:r>
          </w:p>
        </w:tc>
        <w:tc>
          <w:tcPr>
            <w:tcW w:type="dxa" w:w="1234"/>
          </w:tcPr>
          <w:p>
            <w:r/>
            <w:r>
              <w:rPr>
                <w:rFonts w:ascii="Times New Roman" w:hAnsi="Times New Roman" w:eastAsia="仿宋"/>
                <w:b w:val="0"/>
                <w:sz w:val="18"/>
              </w:rPr>
              <w:t>3.2x</w:t>
            </w:r>
          </w:p>
        </w:tc>
        <w:tc>
          <w:tcPr>
            <w:tcW w:type="dxa" w:w="1234"/>
          </w:tcPr>
          <w:p>
            <w:r/>
            <w:r>
              <w:rPr>
                <w:rFonts w:ascii="Times New Roman" w:hAnsi="Times New Roman" w:eastAsia="仿宋"/>
                <w:b w:val="0"/>
                <w:sz w:val="18"/>
              </w:rPr>
              <w:t>88% (14/16)</w:t>
            </w:r>
          </w:p>
        </w:tc>
        <w:tc>
          <w:tcPr>
            <w:tcW w:type="dxa" w:w="1234"/>
          </w:tcPr>
          <w:p>
            <w:r/>
            <w:r>
              <w:rPr>
                <w:rFonts w:ascii="Times New Roman" w:hAnsi="Times New Roman" w:eastAsia="仿宋"/>
                <w:b w:val="0"/>
                <w:sz w:val="18"/>
              </w:rPr>
              <w:t>91.0</w:t>
            </w:r>
          </w:p>
        </w:tc>
        <w:tc>
          <w:tcPr>
            <w:tcW w:type="dxa" w:w="1234"/>
          </w:tcPr>
          <w:p>
            <w:r/>
            <w:r>
              <w:rPr>
                <w:rFonts w:ascii="Times New Roman" w:hAnsi="Times New Roman" w:eastAsia="仿宋"/>
                <w:b w:val="0"/>
                <w:sz w:val="18"/>
              </w:rPr>
              <w:t>11.0</w:t>
            </w:r>
          </w:p>
        </w:tc>
        <w:tc>
          <w:tcPr>
            <w:tcW w:type="dxa" w:w="1234"/>
          </w:tcPr>
          <w:p>
            <w:r/>
            <w:r>
              <w:rPr>
                <w:rFonts w:ascii="Times New Roman" w:hAnsi="Times New Roman" w:eastAsia="仿宋"/>
                <w:b w:val="0"/>
                <w:sz w:val="18"/>
              </w:rPr>
              <w:t>2784</w:t>
            </w:r>
          </w:p>
        </w:tc>
      </w:tr>
    </w:tbl>
    <w:p>
      <w:pPr>
        <w:spacing w:after="40"/>
      </w:pPr>
    </w:p>
    <w:p>
      <w:pPr>
        <w:spacing w:after="80" w:line="336" w:lineRule="auto"/>
        <w:ind w:firstLine="480"/>
      </w:pPr>
      <w:r>
        <w:rPr>
          <w:rFonts w:ascii="Times New Roman" w:hAnsi="Times New Roman" w:eastAsia="仿宋"/>
          <w:b w:val="0"/>
          <w:sz w:val="24"/>
        </w:rPr>
        <w:t>三个值得关注发现：Q5_K_M是最优甜点——相比FP16体积压缩64%、速度提升4.7倍，精度无损；FP16显存6041MB超出6GB端侧限额，从反面证实端侧必须量化；Q8_0准确率反而低于Q6_K和Q5_K_M——8-bit的per-tensor量化在格式敏感任务上误差大于K-quant分块方案，此现象文献少有报告。</w:t>
      </w:r>
    </w:p>
    <w:p>
      <w:pPr>
        <w:spacing w:before="200" w:after="120"/>
      </w:pPr>
      <w:r>
        <w:rPr>
          <w:rFonts w:ascii="黑体" w:hAnsi="黑体" w:eastAsia="黑体"/>
          <w:b/>
          <w:sz w:val="26"/>
        </w:rPr>
        <w:t>三、核心工作二：端侧指令解析Demo与两机集群控制</w:t>
      </w:r>
    </w:p>
    <w:p>
      <w:pPr>
        <w:spacing w:before="160" w:after="80"/>
      </w:pPr>
      <w:r>
        <w:rPr>
          <w:rFonts w:ascii="黑体" w:hAnsi="黑体" w:eastAsia="黑体"/>
          <w:b/>
          <w:sz w:val="24"/>
        </w:rPr>
        <w:t>1. 单机全链路闭环</w:t>
      </w:r>
    </w:p>
    <w:p>
      <w:pPr>
        <w:spacing w:after="80" w:line="336" w:lineRule="auto"/>
        <w:ind w:firstLine="480"/>
      </w:pPr>
      <w:r>
        <w:rPr>
          <w:rFonts w:ascii="Times New Roman" w:hAnsi="Times New Roman" w:eastAsia="仿宋"/>
          <w:b w:val="0"/>
          <w:sz w:val="24"/>
        </w:rPr>
        <w:t>在PX4+ROS2+AirSim平台上开发了ROS2节点（nl_command_node），打通了从自然语言到无人机实际飞行的完整链路。节点收到自然语言指令后调用本机Phi-2推理服务（延迟0.83秒），将JSON目标坐标从ENU转换为NED坐标系后，自动完成解锁、Offboard、起飞、巡航、悬停、返回、降落、上锁的完整任务周期。</w:t>
      </w:r>
    </w:p>
    <w:p>
      <w:pPr>
        <w:spacing w:before="80" w:after="40"/>
        <w:jc w:val="center"/>
      </w:pPr>
      <w:r>
        <w:rPr>
          <w:rFonts w:ascii="黑体" w:hAnsi="黑体" w:eastAsia="黑体"/>
          <w:b w:val="0"/>
          <w:color w:val="404040"/>
          <w:sz w:val="20"/>
        </w:rPr>
        <w:t>表2 Demo各阶段实测耗时</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18"/>
              </w:rPr>
              <w:t>阶段</w:t>
            </w:r>
          </w:p>
        </w:tc>
        <w:tc>
          <w:tcPr>
            <w:tcW w:type="dxa" w:w="2880"/>
          </w:tcPr>
          <w:p>
            <w:pPr>
              <w:jc w:val="center"/>
            </w:pPr>
            <w:r/>
            <w:r>
              <w:rPr>
                <w:rFonts w:ascii="黑体" w:hAnsi="黑体" w:eastAsia="黑体"/>
                <w:b/>
                <w:sz w:val="18"/>
              </w:rPr>
              <w:t>耗时</w:t>
            </w:r>
          </w:p>
        </w:tc>
        <w:tc>
          <w:tcPr>
            <w:tcW w:type="dxa" w:w="2880"/>
          </w:tcPr>
          <w:p>
            <w:pPr>
              <w:jc w:val="center"/>
            </w:pPr>
            <w:r/>
            <w:r>
              <w:rPr>
                <w:rFonts w:ascii="黑体" w:hAnsi="黑体" w:eastAsia="黑体"/>
                <w:b/>
                <w:sz w:val="18"/>
              </w:rPr>
              <w:t>说明</w:t>
            </w:r>
          </w:p>
        </w:tc>
      </w:tr>
      <w:tr>
        <w:tc>
          <w:tcPr>
            <w:tcW w:type="dxa" w:w="2880"/>
          </w:tcPr>
          <w:p>
            <w:r/>
            <w:r>
              <w:rPr>
                <w:rFonts w:ascii="Times New Roman" w:hAnsi="Times New Roman" w:eastAsia="仿宋"/>
                <w:b w:val="0"/>
                <w:sz w:val="18"/>
              </w:rPr>
              <w:t>Phi-2解析</w:t>
            </w:r>
          </w:p>
        </w:tc>
        <w:tc>
          <w:tcPr>
            <w:tcW w:type="dxa" w:w="2880"/>
          </w:tcPr>
          <w:p>
            <w:r/>
            <w:r>
              <w:rPr>
                <w:rFonts w:ascii="Times New Roman" w:hAnsi="Times New Roman" w:eastAsia="仿宋"/>
                <w:b w:val="0"/>
                <w:sz w:val="18"/>
              </w:rPr>
              <w:t>0.83 s</w:t>
            </w:r>
          </w:p>
        </w:tc>
        <w:tc>
          <w:tcPr>
            <w:tcW w:type="dxa" w:w="2880"/>
          </w:tcPr>
          <w:p>
            <w:r/>
            <w:r>
              <w:rPr>
                <w:rFonts w:ascii="Times New Roman" w:hAnsi="Times New Roman" w:eastAsia="仿宋"/>
                <w:b w:val="0"/>
                <w:sz w:val="18"/>
              </w:rPr>
              <w:t>自然语言→JSON</w:t>
            </w:r>
          </w:p>
        </w:tc>
      </w:tr>
      <w:tr>
        <w:tc>
          <w:tcPr>
            <w:tcW w:type="dxa" w:w="2880"/>
          </w:tcPr>
          <w:p>
            <w:r/>
            <w:r>
              <w:rPr>
                <w:rFonts w:ascii="Times New Roman" w:hAnsi="Times New Roman" w:eastAsia="仿宋"/>
                <w:b w:val="0"/>
                <w:sz w:val="18"/>
              </w:rPr>
              <w:t>起飞</w:t>
            </w:r>
          </w:p>
        </w:tc>
        <w:tc>
          <w:tcPr>
            <w:tcW w:type="dxa" w:w="2880"/>
          </w:tcPr>
          <w:p>
            <w:r/>
            <w:r>
              <w:rPr>
                <w:rFonts w:ascii="Times New Roman" w:hAnsi="Times New Roman" w:eastAsia="仿宋"/>
                <w:b w:val="0"/>
                <w:sz w:val="18"/>
              </w:rPr>
              <w:t>6.85 s</w:t>
            </w:r>
          </w:p>
        </w:tc>
        <w:tc>
          <w:tcPr>
            <w:tcW w:type="dxa" w:w="2880"/>
          </w:tcPr>
          <w:p>
            <w:r/>
            <w:r>
              <w:rPr>
                <w:rFonts w:ascii="Times New Roman" w:hAnsi="Times New Roman" w:eastAsia="仿宋"/>
                <w:b w:val="0"/>
                <w:sz w:val="18"/>
              </w:rPr>
              <w:t>到达2m高度</w:t>
            </w:r>
          </w:p>
        </w:tc>
      </w:tr>
      <w:tr>
        <w:tc>
          <w:tcPr>
            <w:tcW w:type="dxa" w:w="2880"/>
          </w:tcPr>
          <w:p>
            <w:r/>
            <w:r>
              <w:rPr>
                <w:rFonts w:ascii="Times New Roman" w:hAnsi="Times New Roman" w:eastAsia="仿宋"/>
                <w:b w:val="0"/>
                <w:sz w:val="18"/>
              </w:rPr>
              <w:t>巡航</w:t>
            </w:r>
          </w:p>
        </w:tc>
        <w:tc>
          <w:tcPr>
            <w:tcW w:type="dxa" w:w="2880"/>
          </w:tcPr>
          <w:p>
            <w:r/>
            <w:r>
              <w:rPr>
                <w:rFonts w:ascii="Times New Roman" w:hAnsi="Times New Roman" w:eastAsia="仿宋"/>
                <w:b w:val="0"/>
                <w:sz w:val="18"/>
              </w:rPr>
              <w:t>4.00 s</w:t>
            </w:r>
          </w:p>
        </w:tc>
        <w:tc>
          <w:tcPr>
            <w:tcW w:type="dxa" w:w="2880"/>
          </w:tcPr>
          <w:p>
            <w:r/>
            <w:r>
              <w:rPr>
                <w:rFonts w:ascii="Times New Roman" w:hAnsi="Times New Roman" w:eastAsia="仿宋"/>
                <w:b w:val="0"/>
                <w:sz w:val="18"/>
              </w:rPr>
              <w:t>到达精度0.82m</w:t>
            </w:r>
          </w:p>
        </w:tc>
      </w:tr>
      <w:tr>
        <w:tc>
          <w:tcPr>
            <w:tcW w:type="dxa" w:w="2880"/>
          </w:tcPr>
          <w:p>
            <w:r/>
            <w:r>
              <w:rPr>
                <w:rFonts w:ascii="Times New Roman" w:hAnsi="Times New Roman" w:eastAsia="仿宋"/>
                <w:b w:val="0"/>
                <w:sz w:val="18"/>
              </w:rPr>
              <w:t>悬停</w:t>
            </w:r>
          </w:p>
        </w:tc>
        <w:tc>
          <w:tcPr>
            <w:tcW w:type="dxa" w:w="2880"/>
          </w:tcPr>
          <w:p>
            <w:r/>
            <w:r>
              <w:rPr>
                <w:rFonts w:ascii="Times New Roman" w:hAnsi="Times New Roman" w:eastAsia="仿宋"/>
                <w:b w:val="0"/>
                <w:sz w:val="18"/>
              </w:rPr>
              <w:t>5.05 s</w:t>
            </w:r>
          </w:p>
        </w:tc>
        <w:tc>
          <w:tcPr>
            <w:tcW w:type="dxa" w:w="2880"/>
          </w:tcPr>
          <w:p>
            <w:r/>
            <w:r>
              <w:rPr>
                <w:rFonts w:ascii="Times New Roman" w:hAnsi="Times New Roman" w:eastAsia="仿宋"/>
                <w:b w:val="0"/>
                <w:sz w:val="18"/>
              </w:rPr>
              <w:t>目标点保持</w:t>
            </w:r>
          </w:p>
        </w:tc>
      </w:tr>
      <w:tr>
        <w:tc>
          <w:tcPr>
            <w:tcW w:type="dxa" w:w="2880"/>
          </w:tcPr>
          <w:p>
            <w:r/>
            <w:r>
              <w:rPr>
                <w:rFonts w:ascii="Times New Roman" w:hAnsi="Times New Roman" w:eastAsia="仿宋"/>
                <w:b w:val="0"/>
                <w:sz w:val="18"/>
              </w:rPr>
              <w:t>返回</w:t>
            </w:r>
          </w:p>
        </w:tc>
        <w:tc>
          <w:tcPr>
            <w:tcW w:type="dxa" w:w="2880"/>
          </w:tcPr>
          <w:p>
            <w:r/>
            <w:r>
              <w:rPr>
                <w:rFonts w:ascii="Times New Roman" w:hAnsi="Times New Roman" w:eastAsia="仿宋"/>
                <w:b w:val="0"/>
                <w:sz w:val="18"/>
              </w:rPr>
              <w:t>4.10 s</w:t>
            </w:r>
          </w:p>
        </w:tc>
        <w:tc>
          <w:tcPr>
            <w:tcW w:type="dxa" w:w="2880"/>
          </w:tcPr>
          <w:p>
            <w:r/>
            <w:r>
              <w:rPr>
                <w:rFonts w:ascii="Times New Roman" w:hAnsi="Times New Roman" w:eastAsia="仿宋"/>
                <w:b w:val="0"/>
                <w:sz w:val="18"/>
              </w:rPr>
              <w:t>回到起飞点</w:t>
            </w:r>
          </w:p>
        </w:tc>
      </w:tr>
      <w:tr>
        <w:tc>
          <w:tcPr>
            <w:tcW w:type="dxa" w:w="2880"/>
          </w:tcPr>
          <w:p>
            <w:r/>
            <w:r>
              <w:rPr>
                <w:rFonts w:ascii="Times New Roman" w:hAnsi="Times New Roman" w:eastAsia="仿宋"/>
                <w:b w:val="0"/>
                <w:sz w:val="18"/>
              </w:rPr>
              <w:t>降落上锁</w:t>
            </w:r>
          </w:p>
        </w:tc>
        <w:tc>
          <w:tcPr>
            <w:tcW w:type="dxa" w:w="2880"/>
          </w:tcPr>
          <w:p>
            <w:r/>
            <w:r>
              <w:rPr>
                <w:rFonts w:ascii="Times New Roman" w:hAnsi="Times New Roman" w:eastAsia="仿宋"/>
                <w:b w:val="0"/>
                <w:sz w:val="18"/>
              </w:rPr>
              <w:t>2.20 s</w:t>
            </w:r>
          </w:p>
        </w:tc>
        <w:tc>
          <w:tcPr>
            <w:tcW w:type="dxa" w:w="2880"/>
          </w:tcPr>
          <w:p>
            <w:r/>
            <w:r>
              <w:rPr>
                <w:rFonts w:ascii="Times New Roman" w:hAnsi="Times New Roman" w:eastAsia="仿宋"/>
                <w:b w:val="0"/>
                <w:sz w:val="18"/>
              </w:rPr>
              <w:t>落地DISARM</w:t>
            </w:r>
          </w:p>
        </w:tc>
      </w:tr>
      <w:tr>
        <w:tc>
          <w:tcPr>
            <w:tcW w:type="dxa" w:w="2880"/>
          </w:tcPr>
          <w:p>
            <w:r/>
            <w:r>
              <w:rPr>
                <w:rFonts w:ascii="Times New Roman" w:hAnsi="Times New Roman" w:eastAsia="仿宋"/>
                <w:b w:val="0"/>
                <w:sz w:val="18"/>
              </w:rPr>
              <w:t>全程</w:t>
            </w:r>
          </w:p>
        </w:tc>
        <w:tc>
          <w:tcPr>
            <w:tcW w:type="dxa" w:w="2880"/>
          </w:tcPr>
          <w:p>
            <w:r/>
            <w:r>
              <w:rPr>
                <w:rFonts w:ascii="Times New Roman" w:hAnsi="Times New Roman" w:eastAsia="仿宋"/>
                <w:b w:val="0"/>
                <w:sz w:val="18"/>
              </w:rPr>
              <w:t>23.03 s</w:t>
            </w:r>
          </w:p>
        </w:tc>
        <w:tc>
          <w:tcPr>
            <w:tcW w:type="dxa" w:w="2880"/>
          </w:tcPr>
          <w:p>
            <w:r/>
            <w:r>
              <w:rPr>
                <w:rFonts w:ascii="Times New Roman" w:hAnsi="Times New Roman" w:eastAsia="仿宋"/>
                <w:b w:val="0"/>
                <w:sz w:val="18"/>
              </w:rPr>
              <w:t>指令输入到落地</w:t>
            </w:r>
          </w:p>
        </w:tc>
      </w:tr>
    </w:tbl>
    <w:p>
      <w:pPr>
        <w:spacing w:after="40"/>
      </w:pPr>
    </w:p>
    <w:p>
      <w:pPr>
        <w:spacing w:before="160" w:after="80"/>
      </w:pPr>
      <w:r>
        <w:rPr>
          <w:rFonts w:ascii="黑体" w:hAnsi="黑体" w:eastAsia="黑体"/>
          <w:b/>
          <w:sz w:val="24"/>
        </w:rPr>
        <w:t>2. 两机集群独立控制</w:t>
      </w:r>
    </w:p>
    <w:p>
      <w:pPr>
        <w:spacing w:after="80" w:line="336" w:lineRule="auto"/>
        <w:ind w:firstLine="480"/>
      </w:pPr>
      <w:r>
        <w:rPr>
          <w:rFonts w:ascii="Times New Roman" w:hAnsi="Times New Roman" w:eastAsia="仿宋"/>
          <w:b w:val="0"/>
          <w:sz w:val="24"/>
        </w:rPr>
        <w:t>在单机基础上扩展到两机同时SITL运行且互不干扰，建立了三层隔离机制：DDS话题层面利用PX4多实例的自动命名空间前缀实现48个话题（24+24）互不串扰；节点层面通过ROS2参数化让两个控制节点各自监听对应指令通道；命令层面为第二实例传入正确的target_system编号。两架无人机分别接收不同自然语言指令，各自独立完成完整闭环，全程互不干扰。此平台已具备承接师兄MAPPO多智能体代码的基础。</w:t>
      </w:r>
    </w:p>
    <w:p>
      <w:pPr>
        <w:spacing w:before="200" w:after="120"/>
      </w:pPr>
      <w:r>
        <w:rPr>
          <w:rFonts w:ascii="黑体" w:hAnsi="黑体" w:eastAsia="黑体"/>
          <w:b/>
          <w:sz w:val="26"/>
        </w:rPr>
        <w:t>四、超额验证：相位协同机制提前预研</w:t>
      </w:r>
    </w:p>
    <w:p>
      <w:pPr>
        <w:spacing w:before="160" w:after="80"/>
      </w:pPr>
      <w:r>
        <w:rPr>
          <w:rFonts w:ascii="黑体" w:hAnsi="黑体" w:eastAsia="黑体"/>
          <w:b/>
          <w:sz w:val="24"/>
        </w:rPr>
        <w:t>1. 假设检验：长上下文直传是死路</w:t>
      </w:r>
    </w:p>
    <w:p>
      <w:pPr>
        <w:spacing w:after="80" w:line="336" w:lineRule="auto"/>
        <w:ind w:firstLine="480"/>
      </w:pPr>
      <w:r>
        <w:rPr>
          <w:rFonts w:ascii="Times New Roman" w:hAnsi="Times New Roman" w:eastAsia="仿宋"/>
          <w:b w:val="0"/>
          <w:sz w:val="24"/>
        </w:rPr>
        <w:t>对导师"相位的引入让端侧小模型的输入上下文压缩一个量级"这一假设，我设计了三组对照实验（5个任务场景×5条指令，共75个样本）：</w:t>
      </w:r>
    </w:p>
    <w:p>
      <w:pPr>
        <w:spacing w:before="80" w:after="40"/>
        <w:jc w:val="center"/>
      </w:pPr>
      <w:r>
        <w:rPr>
          <w:rFonts w:ascii="黑体" w:hAnsi="黑体" w:eastAsia="黑体"/>
          <w:b w:val="0"/>
          <w:color w:val="404040"/>
          <w:sz w:val="20"/>
        </w:rPr>
        <w:t>表3 Context压缩对照实验</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18"/>
              </w:rPr>
              <w:t>组别</w:t>
            </w:r>
          </w:p>
        </w:tc>
        <w:tc>
          <w:tcPr>
            <w:tcW w:type="dxa" w:w="2160"/>
          </w:tcPr>
          <w:p>
            <w:pPr>
              <w:jc w:val="center"/>
            </w:pPr>
            <w:r/>
            <w:r>
              <w:rPr>
                <w:rFonts w:ascii="黑体" w:hAnsi="黑体" w:eastAsia="黑体"/>
                <w:b/>
                <w:sz w:val="18"/>
              </w:rPr>
              <w:t>System Prompt</w:t>
            </w:r>
          </w:p>
        </w:tc>
        <w:tc>
          <w:tcPr>
            <w:tcW w:type="dxa" w:w="2160"/>
          </w:tcPr>
          <w:p>
            <w:pPr>
              <w:jc w:val="center"/>
            </w:pPr>
            <w:r/>
            <w:r>
              <w:rPr>
                <w:rFonts w:ascii="黑体" w:hAnsi="黑体" w:eastAsia="黑体"/>
                <w:b/>
                <w:sz w:val="18"/>
              </w:rPr>
              <w:t>平均长度</w:t>
            </w:r>
          </w:p>
        </w:tc>
        <w:tc>
          <w:tcPr>
            <w:tcW w:type="dxa" w:w="2160"/>
          </w:tcPr>
          <w:p>
            <w:pPr>
              <w:jc w:val="center"/>
            </w:pPr>
            <w:r/>
            <w:r>
              <w:rPr>
                <w:rFonts w:ascii="黑体" w:hAnsi="黑体" w:eastAsia="黑体"/>
                <w:b/>
                <w:sz w:val="18"/>
              </w:rPr>
              <w:t>JSON成功率</w:t>
            </w:r>
          </w:p>
        </w:tc>
      </w:tr>
      <w:tr>
        <w:tc>
          <w:tcPr>
            <w:tcW w:type="dxa" w:w="2160"/>
          </w:tcPr>
          <w:p>
            <w:r/>
            <w:r>
              <w:rPr>
                <w:rFonts w:ascii="Times New Roman" w:hAnsi="Times New Roman" w:eastAsia="仿宋"/>
                <w:b w:val="0"/>
                <w:sz w:val="18"/>
              </w:rPr>
              <w:t>C组（基准）</w:t>
            </w:r>
          </w:p>
        </w:tc>
        <w:tc>
          <w:tcPr>
            <w:tcW w:type="dxa" w:w="2160"/>
          </w:tcPr>
          <w:p>
            <w:r/>
            <w:r>
              <w:rPr>
                <w:rFonts w:ascii="Times New Roman" w:hAnsi="Times New Roman" w:eastAsia="仿宋"/>
                <w:b w:val="0"/>
                <w:sz w:val="18"/>
              </w:rPr>
              <w:t>训练原始格式</w:t>
            </w:r>
          </w:p>
        </w:tc>
        <w:tc>
          <w:tcPr>
            <w:tcW w:type="dxa" w:w="2160"/>
          </w:tcPr>
          <w:p>
            <w:r/>
            <w:r>
              <w:rPr>
                <w:rFonts w:ascii="Times New Roman" w:hAnsi="Times New Roman" w:eastAsia="仿宋"/>
                <w:b w:val="0"/>
                <w:sz w:val="18"/>
              </w:rPr>
              <w:t>40.2 tok</w:t>
            </w:r>
          </w:p>
        </w:tc>
        <w:tc>
          <w:tcPr>
            <w:tcW w:type="dxa" w:w="2160"/>
          </w:tcPr>
          <w:p>
            <w:r/>
            <w:r>
              <w:rPr>
                <w:rFonts w:ascii="Times New Roman" w:hAnsi="Times New Roman" w:eastAsia="仿宋"/>
                <w:b w:val="0"/>
                <w:sz w:val="18"/>
              </w:rPr>
              <w:t>100% (25/25)</w:t>
            </w:r>
          </w:p>
        </w:tc>
      </w:tr>
      <w:tr>
        <w:tc>
          <w:tcPr>
            <w:tcW w:type="dxa" w:w="2160"/>
          </w:tcPr>
          <w:p>
            <w:r/>
            <w:r>
              <w:rPr>
                <w:rFonts w:ascii="Times New Roman" w:hAnsi="Times New Roman" w:eastAsia="仿宋"/>
                <w:b w:val="0"/>
                <w:sz w:val="18"/>
              </w:rPr>
              <w:t>A组（完整态势）</w:t>
            </w:r>
          </w:p>
        </w:tc>
        <w:tc>
          <w:tcPr>
            <w:tcW w:type="dxa" w:w="2160"/>
          </w:tcPr>
          <w:p>
            <w:r/>
            <w:r>
              <w:rPr>
                <w:rFonts w:ascii="Times New Roman" w:hAnsi="Times New Roman" w:eastAsia="仿宋"/>
                <w:b w:val="0"/>
                <w:sz w:val="18"/>
              </w:rPr>
              <w:t>90 token态势描述</w:t>
            </w:r>
          </w:p>
        </w:tc>
        <w:tc>
          <w:tcPr>
            <w:tcW w:type="dxa" w:w="2160"/>
          </w:tcPr>
          <w:p>
            <w:r/>
            <w:r>
              <w:rPr>
                <w:rFonts w:ascii="Times New Roman" w:hAnsi="Times New Roman" w:eastAsia="仿宋"/>
                <w:b w:val="0"/>
                <w:sz w:val="18"/>
              </w:rPr>
              <w:t>128.4 tok</w:t>
            </w:r>
          </w:p>
        </w:tc>
        <w:tc>
          <w:tcPr>
            <w:tcW w:type="dxa" w:w="2160"/>
          </w:tcPr>
          <w:p>
            <w:r/>
            <w:r>
              <w:rPr>
                <w:rFonts w:ascii="Times New Roman" w:hAnsi="Times New Roman" w:eastAsia="仿宋"/>
                <w:b w:val="0"/>
                <w:sz w:val="18"/>
              </w:rPr>
              <w:t>0% (0/25)</w:t>
            </w:r>
          </w:p>
        </w:tc>
      </w:tr>
      <w:tr>
        <w:tc>
          <w:tcPr>
            <w:tcW w:type="dxa" w:w="2160"/>
          </w:tcPr>
          <w:p>
            <w:r/>
            <w:r>
              <w:rPr>
                <w:rFonts w:ascii="Times New Roman" w:hAnsi="Times New Roman" w:eastAsia="仿宋"/>
                <w:b w:val="0"/>
                <w:sz w:val="18"/>
              </w:rPr>
              <w:t>B组（相位标签）</w:t>
            </w:r>
          </w:p>
        </w:tc>
        <w:tc>
          <w:tcPr>
            <w:tcW w:type="dxa" w:w="2160"/>
          </w:tcPr>
          <w:p>
            <w:r/>
            <w:r>
              <w:rPr>
                <w:rFonts w:ascii="Times New Roman" w:hAnsi="Times New Roman" w:eastAsia="仿宋"/>
                <w:b w:val="0"/>
                <w:sz w:val="18"/>
              </w:rPr>
              <w:t>Phase: XXX.</w:t>
            </w:r>
          </w:p>
        </w:tc>
        <w:tc>
          <w:tcPr>
            <w:tcW w:type="dxa" w:w="2160"/>
          </w:tcPr>
          <w:p>
            <w:r/>
            <w:r>
              <w:rPr>
                <w:rFonts w:ascii="Times New Roman" w:hAnsi="Times New Roman" w:eastAsia="仿宋"/>
                <w:b w:val="0"/>
                <w:sz w:val="18"/>
              </w:rPr>
              <w:t>47.0 tok</w:t>
            </w:r>
          </w:p>
        </w:tc>
        <w:tc>
          <w:tcPr>
            <w:tcW w:type="dxa" w:w="2160"/>
          </w:tcPr>
          <w:p>
            <w:r/>
            <w:r>
              <w:rPr>
                <w:rFonts w:ascii="Times New Roman" w:hAnsi="Times New Roman" w:eastAsia="仿宋"/>
                <w:b w:val="0"/>
                <w:sz w:val="18"/>
              </w:rPr>
              <w:t>100% (25/25)</w:t>
            </w:r>
          </w:p>
        </w:tc>
      </w:tr>
    </w:tbl>
    <w:p>
      <w:pPr>
        <w:spacing w:after="40"/>
      </w:pPr>
    </w:p>
    <w:p>
      <w:pPr>
        <w:spacing w:after="80" w:line="336" w:lineRule="auto"/>
        <w:ind w:firstLine="480"/>
      </w:pPr>
      <w:r>
        <w:rPr>
          <w:rFonts w:ascii="Times New Roman" w:hAnsi="Times New Roman" w:eastAsia="仿宋"/>
          <w:b w:val="0"/>
          <w:sz w:val="24"/>
        </w:rPr>
        <w:t>A组完全崩溃这一结果说明：微调后的小模型对prompt格式极其敏感，云端LLM的长输出无法直接喂给它——相位机制不是优化选项，而是必需条件。这个论证比"压缩一个量级"更强。且真实云端态势通常500至1000 token以上，实际压缩比可达10至20倍。</w:t>
      </w:r>
    </w:p>
    <w:p>
      <w:pPr>
        <w:spacing w:before="160" w:after="80"/>
      </w:pPr>
      <w:r>
        <w:rPr>
          <w:rFonts w:ascii="黑体" w:hAnsi="黑体" w:eastAsia="黑体"/>
          <w:b/>
          <w:sz w:val="24"/>
        </w:rPr>
        <w:t>2. 相位条件化微调五轮迭代</w:t>
      </w:r>
    </w:p>
    <w:p>
      <w:pPr>
        <w:spacing w:after="80" w:line="336" w:lineRule="auto"/>
        <w:ind w:firstLine="480"/>
      </w:pPr>
      <w:r>
        <w:rPr>
          <w:rFonts w:ascii="Times New Roman" w:hAnsi="Times New Roman" w:eastAsia="仿宋"/>
          <w:b w:val="0"/>
          <w:sz w:val="24"/>
        </w:rPr>
        <w:t>为验证端侧模型能否利用相位信号，我进行了五轮微调迭代，每轮包含数据构造、训练、量化和验证的完整流程：</w:t>
      </w:r>
    </w:p>
    <w:p>
      <w:pPr>
        <w:spacing w:before="80" w:after="40"/>
        <w:jc w:val="center"/>
      </w:pPr>
      <w:r>
        <w:rPr>
          <w:rFonts w:ascii="黑体" w:hAnsi="黑体" w:eastAsia="黑体"/>
          <w:b w:val="0"/>
          <w:color w:val="404040"/>
          <w:sz w:val="20"/>
        </w:rPr>
        <w:t>表4 五轮微调迭代消融对比</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18"/>
              </w:rPr>
              <w:t>轮次</w:t>
            </w:r>
          </w:p>
        </w:tc>
        <w:tc>
          <w:tcPr>
            <w:tcW w:type="dxa" w:w="1728"/>
          </w:tcPr>
          <w:p>
            <w:pPr>
              <w:jc w:val="center"/>
            </w:pPr>
            <w:r/>
            <w:r>
              <w:rPr>
                <w:rFonts w:ascii="黑体" w:hAnsi="黑体" w:eastAsia="黑体"/>
                <w:b/>
                <w:sz w:val="18"/>
              </w:rPr>
              <w:t>数据策略</w:t>
            </w:r>
          </w:p>
        </w:tc>
        <w:tc>
          <w:tcPr>
            <w:tcW w:type="dxa" w:w="1728"/>
          </w:tcPr>
          <w:p>
            <w:pPr>
              <w:jc w:val="center"/>
            </w:pPr>
            <w:r/>
            <w:r>
              <w:rPr>
                <w:rFonts w:ascii="黑体" w:hAnsi="黑体" w:eastAsia="黑体"/>
                <w:b/>
                <w:sz w:val="18"/>
              </w:rPr>
              <w:t>数据量</w:t>
            </w:r>
          </w:p>
        </w:tc>
        <w:tc>
          <w:tcPr>
            <w:tcW w:type="dxa" w:w="1728"/>
          </w:tcPr>
          <w:p>
            <w:pPr>
              <w:jc w:val="center"/>
            </w:pPr>
            <w:r/>
            <w:r>
              <w:rPr>
                <w:rFonts w:ascii="黑体" w:hAnsi="黑体" w:eastAsia="黑体"/>
                <w:b/>
                <w:sz w:val="18"/>
              </w:rPr>
              <w:t>结果</w:t>
            </w:r>
          </w:p>
        </w:tc>
        <w:tc>
          <w:tcPr>
            <w:tcW w:type="dxa" w:w="1728"/>
          </w:tcPr>
          <w:p>
            <w:pPr>
              <w:jc w:val="center"/>
            </w:pPr>
            <w:r/>
            <w:r>
              <w:rPr>
                <w:rFonts w:ascii="黑体" w:hAnsi="黑体" w:eastAsia="黑体"/>
                <w:b/>
                <w:sz w:val="18"/>
              </w:rPr>
              <w:t>教训</w:t>
            </w:r>
          </w:p>
        </w:tc>
      </w:tr>
      <w:tr>
        <w:tc>
          <w:tcPr>
            <w:tcW w:type="dxa" w:w="1728"/>
          </w:tcPr>
          <w:p>
            <w:r/>
            <w:r>
              <w:rPr>
                <w:rFonts w:ascii="Times New Roman" w:hAnsi="Times New Roman" w:eastAsia="仿宋"/>
                <w:b w:val="0"/>
                <w:sz w:val="18"/>
              </w:rPr>
              <w:t>第一轮</w:t>
            </w:r>
          </w:p>
        </w:tc>
        <w:tc>
          <w:tcPr>
            <w:tcW w:type="dxa" w:w="1728"/>
          </w:tcPr>
          <w:p>
            <w:r/>
            <w:r>
              <w:rPr>
                <w:rFonts w:ascii="Times New Roman" w:hAnsi="Times New Roman" w:eastAsia="仿宋"/>
                <w:b w:val="0"/>
                <w:sz w:val="18"/>
              </w:rPr>
              <w:t>随机target·一对一</w:t>
            </w:r>
          </w:p>
        </w:tc>
        <w:tc>
          <w:tcPr>
            <w:tcW w:type="dxa" w:w="1728"/>
          </w:tcPr>
          <w:p>
            <w:r/>
            <w:r>
              <w:rPr>
                <w:rFonts w:ascii="Times New Roman" w:hAnsi="Times New Roman" w:eastAsia="仿宋"/>
                <w:b w:val="0"/>
                <w:sz w:val="18"/>
              </w:rPr>
              <w:t>209条</w:t>
            </w:r>
          </w:p>
        </w:tc>
        <w:tc>
          <w:tcPr>
            <w:tcW w:type="dxa" w:w="1728"/>
          </w:tcPr>
          <w:p>
            <w:r/>
            <w:r>
              <w:rPr>
                <w:rFonts w:ascii="Times New Roman" w:hAnsi="Times New Roman" w:eastAsia="仿宋"/>
                <w:b w:val="0"/>
                <w:sz w:val="18"/>
              </w:rPr>
              <w:t>2/4弱分化</w:t>
            </w:r>
          </w:p>
        </w:tc>
        <w:tc>
          <w:tcPr>
            <w:tcW w:type="dxa" w:w="1728"/>
          </w:tcPr>
          <w:p>
            <w:r/>
            <w:r>
              <w:rPr>
                <w:rFonts w:ascii="Times New Roman" w:hAnsi="Times New Roman" w:eastAsia="仿宋"/>
                <w:b w:val="0"/>
                <w:sz w:val="18"/>
              </w:rPr>
              <w:t>记忆效应非真语义</w:t>
            </w:r>
          </w:p>
        </w:tc>
      </w:tr>
      <w:tr>
        <w:tc>
          <w:tcPr>
            <w:tcW w:type="dxa" w:w="1728"/>
          </w:tcPr>
          <w:p>
            <w:r/>
            <w:r>
              <w:rPr>
                <w:rFonts w:ascii="Times New Roman" w:hAnsi="Times New Roman" w:eastAsia="仿宋"/>
                <w:b w:val="0"/>
                <w:sz w:val="18"/>
              </w:rPr>
              <w:t>第二轮</w:t>
            </w:r>
          </w:p>
        </w:tc>
        <w:tc>
          <w:tcPr>
            <w:tcW w:type="dxa" w:w="1728"/>
          </w:tcPr>
          <w:p>
            <w:r/>
            <w:r>
              <w:rPr>
                <w:rFonts w:ascii="Times New Roman" w:hAnsi="Times New Roman" w:eastAsia="仿宋"/>
                <w:b w:val="0"/>
                <w:sz w:val="18"/>
              </w:rPr>
              <w:t>随机target·一对多</w:t>
            </w:r>
          </w:p>
        </w:tc>
        <w:tc>
          <w:tcPr>
            <w:tcW w:type="dxa" w:w="1728"/>
          </w:tcPr>
          <w:p>
            <w:r/>
            <w:r>
              <w:rPr>
                <w:rFonts w:ascii="Times New Roman" w:hAnsi="Times New Roman" w:eastAsia="仿宋"/>
                <w:b w:val="0"/>
                <w:sz w:val="18"/>
              </w:rPr>
              <w:t>399条</w:t>
            </w:r>
          </w:p>
        </w:tc>
        <w:tc>
          <w:tcPr>
            <w:tcW w:type="dxa" w:w="1728"/>
          </w:tcPr>
          <w:p>
            <w:r/>
            <w:r>
              <w:rPr>
                <w:rFonts w:ascii="Times New Roman" w:hAnsi="Times New Roman" w:eastAsia="仿宋"/>
                <w:b w:val="0"/>
                <w:sz w:val="18"/>
              </w:rPr>
              <w:t>0/4均值坍缩</w:t>
            </w:r>
          </w:p>
        </w:tc>
        <w:tc>
          <w:tcPr>
            <w:tcW w:type="dxa" w:w="1728"/>
          </w:tcPr>
          <w:p>
            <w:r/>
            <w:r>
              <w:rPr>
                <w:rFonts w:ascii="Times New Roman" w:hAnsi="Times New Roman" w:eastAsia="仿宋"/>
                <w:b w:val="0"/>
                <w:sz w:val="18"/>
              </w:rPr>
              <w:t>随机目标教出均值</w:t>
            </w:r>
          </w:p>
        </w:tc>
      </w:tr>
      <w:tr>
        <w:tc>
          <w:tcPr>
            <w:tcW w:type="dxa" w:w="1728"/>
          </w:tcPr>
          <w:p>
            <w:r/>
            <w:r>
              <w:rPr>
                <w:rFonts w:ascii="Times New Roman" w:hAnsi="Times New Roman" w:eastAsia="仿宋"/>
                <w:b w:val="0"/>
                <w:sz w:val="18"/>
              </w:rPr>
              <w:t>第三轮</w:t>
            </w:r>
          </w:p>
        </w:tc>
        <w:tc>
          <w:tcPr>
            <w:tcW w:type="dxa" w:w="1728"/>
          </w:tcPr>
          <w:p>
            <w:r/>
            <w:r>
              <w:rPr>
                <w:rFonts w:ascii="Times New Roman" w:hAnsi="Times New Roman" w:eastAsia="仿宋"/>
                <w:b w:val="0"/>
                <w:sz w:val="18"/>
              </w:rPr>
              <w:t>确定性规则映射</w:t>
            </w:r>
          </w:p>
        </w:tc>
        <w:tc>
          <w:tcPr>
            <w:tcW w:type="dxa" w:w="1728"/>
          </w:tcPr>
          <w:p>
            <w:r/>
            <w:r>
              <w:rPr>
                <w:rFonts w:ascii="Times New Roman" w:hAnsi="Times New Roman" w:eastAsia="仿宋"/>
                <w:b w:val="0"/>
                <w:sz w:val="18"/>
              </w:rPr>
              <w:t>233条</w:t>
            </w:r>
          </w:p>
        </w:tc>
        <w:tc>
          <w:tcPr>
            <w:tcW w:type="dxa" w:w="1728"/>
          </w:tcPr>
          <w:p>
            <w:r/>
            <w:r>
              <w:rPr>
                <w:rFonts w:ascii="Times New Roman" w:hAnsi="Times New Roman" w:eastAsia="仿宋"/>
                <w:b w:val="0"/>
                <w:sz w:val="18"/>
              </w:rPr>
              <w:t>10/13+泛化</w:t>
            </w:r>
          </w:p>
        </w:tc>
        <w:tc>
          <w:tcPr>
            <w:tcW w:type="dxa" w:w="1728"/>
          </w:tcPr>
          <w:p>
            <w:r/>
            <w:r>
              <w:rPr>
                <w:rFonts w:ascii="Times New Roman" w:hAnsi="Times New Roman" w:eastAsia="仿宋"/>
                <w:b w:val="0"/>
                <w:sz w:val="18"/>
              </w:rPr>
              <w:t>确定性映射有效</w:t>
            </w:r>
          </w:p>
        </w:tc>
      </w:tr>
      <w:tr>
        <w:tc>
          <w:tcPr>
            <w:tcW w:type="dxa" w:w="1728"/>
          </w:tcPr>
          <w:p>
            <w:r/>
            <w:r>
              <w:rPr>
                <w:rFonts w:ascii="Times New Roman" w:hAnsi="Times New Roman" w:eastAsia="仿宋"/>
                <w:b w:val="0"/>
                <w:sz w:val="18"/>
              </w:rPr>
              <w:t>第四轮</w:t>
            </w:r>
          </w:p>
        </w:tc>
        <w:tc>
          <w:tcPr>
            <w:tcW w:type="dxa" w:w="1728"/>
          </w:tcPr>
          <w:p>
            <w:r/>
            <w:r>
              <w:rPr>
                <w:rFonts w:ascii="Times New Roman" w:hAnsi="Times New Roman" w:eastAsia="仿宋"/>
                <w:b w:val="0"/>
                <w:sz w:val="18"/>
              </w:rPr>
              <w:t>参数化距离增强</w:t>
            </w:r>
          </w:p>
        </w:tc>
        <w:tc>
          <w:tcPr>
            <w:tcW w:type="dxa" w:w="1728"/>
          </w:tcPr>
          <w:p>
            <w:r/>
            <w:r>
              <w:rPr>
                <w:rFonts w:ascii="Times New Roman" w:hAnsi="Times New Roman" w:eastAsia="仿宋"/>
                <w:b w:val="0"/>
                <w:sz w:val="18"/>
              </w:rPr>
              <w:t>287条</w:t>
            </w:r>
          </w:p>
        </w:tc>
        <w:tc>
          <w:tcPr>
            <w:tcW w:type="dxa" w:w="1728"/>
          </w:tcPr>
          <w:p>
            <w:r/>
            <w:r>
              <w:rPr>
                <w:rFonts w:ascii="Times New Roman" w:hAnsi="Times New Roman" w:eastAsia="仿宋"/>
                <w:b w:val="0"/>
                <w:sz w:val="18"/>
              </w:rPr>
              <w:t>14/16+参数泛化</w:t>
            </w:r>
          </w:p>
        </w:tc>
        <w:tc>
          <w:tcPr>
            <w:tcW w:type="dxa" w:w="1728"/>
          </w:tcPr>
          <w:p>
            <w:r/>
            <w:r>
              <w:rPr>
                <w:rFonts w:ascii="Times New Roman" w:hAnsi="Times New Roman" w:eastAsia="仿宋"/>
                <w:b w:val="0"/>
                <w:sz w:val="18"/>
              </w:rPr>
              <w:t>最优，训练外N=28/50精确输出</w:t>
            </w:r>
          </w:p>
        </w:tc>
      </w:tr>
      <w:tr>
        <w:tc>
          <w:tcPr>
            <w:tcW w:type="dxa" w:w="1728"/>
          </w:tcPr>
          <w:p>
            <w:r/>
            <w:r>
              <w:rPr>
                <w:rFonts w:ascii="Times New Roman" w:hAnsi="Times New Roman" w:eastAsia="仿宋"/>
                <w:b w:val="0"/>
                <w:sz w:val="18"/>
              </w:rPr>
              <w:t>第五轮</w:t>
            </w:r>
          </w:p>
        </w:tc>
        <w:tc>
          <w:tcPr>
            <w:tcW w:type="dxa" w:w="1728"/>
          </w:tcPr>
          <w:p>
            <w:r/>
            <w:r>
              <w:rPr>
                <w:rFonts w:ascii="Times New Roman" w:hAnsi="Times New Roman" w:eastAsia="仿宋"/>
                <w:b w:val="0"/>
                <w:sz w:val="18"/>
              </w:rPr>
              <w:t>单相位加强</w:t>
            </w:r>
          </w:p>
        </w:tc>
        <w:tc>
          <w:tcPr>
            <w:tcW w:type="dxa" w:w="1728"/>
          </w:tcPr>
          <w:p>
            <w:r/>
            <w:r>
              <w:rPr>
                <w:rFonts w:ascii="Times New Roman" w:hAnsi="Times New Roman" w:eastAsia="仿宋"/>
                <w:b w:val="0"/>
                <w:sz w:val="18"/>
              </w:rPr>
              <w:t>330条</w:t>
            </w:r>
          </w:p>
        </w:tc>
        <w:tc>
          <w:tcPr>
            <w:tcW w:type="dxa" w:w="1728"/>
          </w:tcPr>
          <w:p>
            <w:r/>
            <w:r>
              <w:rPr>
                <w:rFonts w:ascii="Times New Roman" w:hAnsi="Times New Roman" w:eastAsia="仿宋"/>
                <w:b w:val="0"/>
                <w:sz w:val="18"/>
              </w:rPr>
              <w:t>8/16退化</w:t>
            </w:r>
          </w:p>
        </w:tc>
        <w:tc>
          <w:tcPr>
            <w:tcW w:type="dxa" w:w="1728"/>
          </w:tcPr>
          <w:p>
            <w:r/>
            <w:r>
              <w:rPr>
                <w:rFonts w:ascii="Times New Roman" w:hAnsi="Times New Roman" w:eastAsia="仿宋"/>
                <w:b w:val="0"/>
                <w:sz w:val="18"/>
              </w:rPr>
              <w:t>共享特征需全相位平衡</w:t>
            </w:r>
          </w:p>
        </w:tc>
      </w:tr>
    </w:tbl>
    <w:p>
      <w:pPr>
        <w:spacing w:after="40"/>
      </w:pPr>
    </w:p>
    <w:p>
      <w:pPr>
        <w:spacing w:after="80" w:line="336" w:lineRule="auto"/>
        <w:ind w:firstLine="480"/>
      </w:pPr>
      <w:r>
        <w:rPr>
          <w:rFonts w:ascii="Times New Roman" w:hAnsi="Times New Roman" w:eastAsia="仿宋"/>
          <w:b w:val="0"/>
          <w:sz w:val="24"/>
        </w:rPr>
        <w:t>第三轮是关键转折：改用确定性规则映射（相位标签带参数，target由规则从参数推导）后，模型真正学会了"解析参数、应用规则"。给它训练中从未出现过的ASSEMBLE@(12,-9)，能正确输出target=[12.0,-9.0,5.0]。第四轮进一步将避障相位参数化为@left@N格式，模型对训练外距离N=28和N=50也能精确输出-28.0和50.0，证明学到的是"方向决定符号、参数决定幅度"的两层规则而非死记。第四轮模型（14/16=88%规则通过率）为最终交付版本。</w:t>
      </w:r>
    </w:p>
    <w:p>
      <w:pPr>
        <w:spacing w:after="80" w:line="336" w:lineRule="auto"/>
        <w:ind w:firstLine="480"/>
      </w:pPr>
      <w:r>
        <w:rPr>
          <w:rFonts w:ascii="Times New Roman" w:hAnsi="Times New Roman" w:eastAsia="仿宋"/>
          <w:b w:val="0"/>
          <w:sz w:val="24"/>
        </w:rPr>
        <w:t>五轮中两次失败的根因分析同样有价值：第二轮的均值坍缩揭示"随机目标教不会规则"；第五轮的单相位加强导致z值特征干扰，揭示"共享特征需全相位数据平衡"。这两条方法论边界为后续正式实验划定了安全区。</w:t>
      </w:r>
    </w:p>
    <w:p>
      <w:pPr>
        <w:spacing w:after="80" w:line="336" w:lineRule="auto"/>
        <w:ind w:firstLine="480"/>
      </w:pPr>
      <w:r>
        <w:rPr>
          <w:rFonts w:ascii="Times New Roman" w:hAnsi="Times New Roman" w:eastAsia="仿宋"/>
          <w:b w:val="0"/>
          <w:sz w:val="24"/>
        </w:rPr>
        <w:t>至此，创新点1的完整因果链已得到实验支撑：云端LLM输出带参数的相位信号（约10至15 token），端侧1.87GB的Q5_K_M模型即可将其解析为本地动作JSON，解析无损、具备参数泛化能力、推理延迟0.83秒。</w:t>
      </w:r>
    </w:p>
    <w:p>
      <w:pPr>
        <w:spacing w:before="200" w:after="120"/>
      </w:pPr>
      <w:r>
        <w:rPr>
          <w:rFonts w:ascii="黑体" w:hAnsi="黑体" w:eastAsia="黑体"/>
          <w:b/>
          <w:sz w:val="26"/>
        </w:rPr>
        <w:t>五、MAPPO理论学习与师兄论文研读</w:t>
      </w:r>
    </w:p>
    <w:p>
      <w:pPr>
        <w:spacing w:after="80" w:line="336" w:lineRule="auto"/>
        <w:ind w:firstLine="480"/>
      </w:pPr>
      <w:r>
        <w:rPr>
          <w:rFonts w:ascii="Times New Roman" w:hAnsi="Times New Roman" w:eastAsia="仿宋"/>
          <w:b w:val="0"/>
          <w:sz w:val="24"/>
        </w:rPr>
        <w:t>撰写了两份MAPPO学习文档（合计约50页）。初学者版从机器学习基础讲起，为32个专业术语配备白话解释和22个生活类比（如用"足球训练有教练、比赛靠自己"类比CTDE框架），确保零基础也能读完；进阶版覆盖PPO到MAPPO的演进逻辑、CTDE框架中Actor局部观测与Critic全局状态的分工原理（对应师兄论文的14维观测/22维全局状态架构）、GAE优势估计的偏差-方差权衡推导、完整PyTorch训练循环伪代码，以及师兄论文Phase-Aware元控制器（Early/Mid/Late三相位检测+安全层四级检查）与E1至E8实验设计的统计方法解读。</w:t>
      </w:r>
    </w:p>
    <w:p>
      <w:pPr>
        <w:spacing w:after="80" w:line="336" w:lineRule="auto"/>
        <w:ind w:firstLine="480"/>
      </w:pPr>
      <w:r>
        <w:rPr>
          <w:rFonts w:ascii="Times New Roman" w:hAnsi="Times New Roman" w:eastAsia="仿宋"/>
          <w:b w:val="0"/>
          <w:sz w:val="24"/>
        </w:rPr>
        <w:t>学习过程中我特别注意将理论与师兄论文的具体设计对照：例如SFTConfig新接口的学习直接服务于理解MAPPO训练循环的数据组织方式；CTDE框架中"Actor维度与规模无关"这一特性直接解释了师兄E5实验为何可以做zero-shot规模泛化而Critic不能。两份文档每章末尾附有口头复述检查清单，以"能脱稿向老师讲清CTDE框架与MAPPO训练流程"为标准检验完成度。</w:t>
      </w:r>
    </w:p>
    <w:p>
      <w:pPr>
        <w:spacing w:before="200" w:after="120"/>
      </w:pPr>
      <w:r>
        <w:rPr>
          <w:rFonts w:ascii="黑体" w:hAnsi="黑体" w:eastAsia="黑体"/>
          <w:b/>
          <w:sz w:val="26"/>
        </w:rPr>
        <w:t>六、产出清单</w:t>
      </w:r>
    </w:p>
    <w:p>
      <w:pPr>
        <w:spacing w:before="80" w:after="40"/>
        <w:jc w:val="center"/>
      </w:pPr>
      <w:r>
        <w:rPr>
          <w:rFonts w:ascii="黑体" w:hAnsi="黑体" w:eastAsia="黑体"/>
          <w:b w:val="0"/>
          <w:color w:val="404040"/>
          <w:sz w:val="20"/>
        </w:rPr>
        <w:t>表5 八月产出清单</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18"/>
              </w:rPr>
              <w:t>类别</w:t>
            </w:r>
          </w:p>
        </w:tc>
        <w:tc>
          <w:tcPr>
            <w:tcW w:type="dxa" w:w="2880"/>
          </w:tcPr>
          <w:p>
            <w:pPr>
              <w:jc w:val="center"/>
            </w:pPr>
            <w:r/>
            <w:r>
              <w:rPr>
                <w:rFonts w:ascii="黑体" w:hAnsi="黑体" w:eastAsia="黑体"/>
                <w:b/>
                <w:sz w:val="18"/>
              </w:rPr>
              <w:t>数量</w:t>
            </w:r>
          </w:p>
        </w:tc>
        <w:tc>
          <w:tcPr>
            <w:tcW w:type="dxa" w:w="2880"/>
          </w:tcPr>
          <w:p>
            <w:pPr>
              <w:jc w:val="center"/>
            </w:pPr>
            <w:r/>
            <w:r>
              <w:rPr>
                <w:rFonts w:ascii="黑体" w:hAnsi="黑体" w:eastAsia="黑体"/>
                <w:b/>
                <w:sz w:val="18"/>
              </w:rPr>
              <w:t>说明</w:t>
            </w:r>
          </w:p>
        </w:tc>
      </w:tr>
      <w:tr>
        <w:tc>
          <w:tcPr>
            <w:tcW w:type="dxa" w:w="2880"/>
          </w:tcPr>
          <w:p>
            <w:r/>
            <w:r>
              <w:rPr>
                <w:rFonts w:ascii="Times New Roman" w:hAnsi="Times New Roman" w:eastAsia="仿宋"/>
                <w:b w:val="0"/>
                <w:sz w:val="18"/>
              </w:rPr>
              <w:t>文档</w:t>
            </w:r>
          </w:p>
        </w:tc>
        <w:tc>
          <w:tcPr>
            <w:tcW w:type="dxa" w:w="2880"/>
          </w:tcPr>
          <w:p>
            <w:r/>
            <w:r>
              <w:rPr>
                <w:rFonts w:ascii="Times New Roman" w:hAnsi="Times New Roman" w:eastAsia="仿宋"/>
                <w:b w:val="0"/>
                <w:sz w:val="18"/>
              </w:rPr>
              <w:t>9份</w:t>
            </w:r>
          </w:p>
        </w:tc>
        <w:tc>
          <w:tcPr>
            <w:tcW w:type="dxa" w:w="2880"/>
          </w:tcPr>
          <w:p>
            <w:r/>
            <w:r>
              <w:rPr>
                <w:rFonts w:ascii="Times New Roman" w:hAnsi="Times New Roman" w:eastAsia="仿宋"/>
                <w:b w:val="0"/>
                <w:sz w:val="18"/>
              </w:rPr>
              <w:t>学习文档2份、验收记录2份、架构分析1份、汇报1份、参考3份</w:t>
            </w:r>
          </w:p>
        </w:tc>
      </w:tr>
      <w:tr>
        <w:tc>
          <w:tcPr>
            <w:tcW w:type="dxa" w:w="2880"/>
          </w:tcPr>
          <w:p>
            <w:r/>
            <w:r>
              <w:rPr>
                <w:rFonts w:ascii="Times New Roman" w:hAnsi="Times New Roman" w:eastAsia="仿宋"/>
                <w:b w:val="0"/>
                <w:sz w:val="18"/>
              </w:rPr>
              <w:t>量化模型</w:t>
            </w:r>
          </w:p>
        </w:tc>
        <w:tc>
          <w:tcPr>
            <w:tcW w:type="dxa" w:w="2880"/>
          </w:tcPr>
          <w:p>
            <w:r/>
            <w:r>
              <w:rPr>
                <w:rFonts w:ascii="Times New Roman" w:hAnsi="Times New Roman" w:eastAsia="仿宋"/>
                <w:b w:val="0"/>
                <w:sz w:val="18"/>
              </w:rPr>
              <w:t>11个</w:t>
            </w:r>
          </w:p>
        </w:tc>
        <w:tc>
          <w:tcPr>
            <w:tcW w:type="dxa" w:w="2880"/>
          </w:tcPr>
          <w:p>
            <w:r/>
            <w:r>
              <w:rPr>
                <w:rFonts w:ascii="Times New Roman" w:hAnsi="Times New Roman" w:eastAsia="仿宋"/>
                <w:b w:val="0"/>
                <w:sz w:val="18"/>
              </w:rPr>
              <w:t>五档基准5个 + 相位迭代5个 + FP16源</w:t>
            </w:r>
          </w:p>
        </w:tc>
      </w:tr>
      <w:tr>
        <w:tc>
          <w:tcPr>
            <w:tcW w:type="dxa" w:w="2880"/>
          </w:tcPr>
          <w:p>
            <w:r/>
            <w:r>
              <w:rPr>
                <w:rFonts w:ascii="Times New Roman" w:hAnsi="Times New Roman" w:eastAsia="仿宋"/>
                <w:b w:val="0"/>
                <w:sz w:val="18"/>
              </w:rPr>
              <w:t>数据集</w:t>
            </w:r>
          </w:p>
        </w:tc>
        <w:tc>
          <w:tcPr>
            <w:tcW w:type="dxa" w:w="2880"/>
          </w:tcPr>
          <w:p>
            <w:r/>
            <w:r>
              <w:rPr>
                <w:rFonts w:ascii="Times New Roman" w:hAnsi="Times New Roman" w:eastAsia="仿宋"/>
                <w:b w:val="0"/>
                <w:sz w:val="18"/>
              </w:rPr>
              <w:t>6版（累计1524条）</w:t>
            </w:r>
          </w:p>
        </w:tc>
        <w:tc>
          <w:tcPr>
            <w:tcW w:type="dxa" w:w="2880"/>
          </w:tcPr>
          <w:p>
            <w:r/>
            <w:r>
              <w:rPr>
                <w:rFonts w:ascii="Times New Roman" w:hAnsi="Times New Roman" w:eastAsia="仿宋"/>
                <w:b w:val="0"/>
                <w:sz w:val="18"/>
              </w:rPr>
              <w:t>基础109条 + 相位五轮各版</w:t>
            </w:r>
          </w:p>
        </w:tc>
      </w:tr>
      <w:tr>
        <w:tc>
          <w:tcPr>
            <w:tcW w:type="dxa" w:w="2880"/>
          </w:tcPr>
          <w:p>
            <w:r/>
            <w:r>
              <w:rPr>
                <w:rFonts w:ascii="Times New Roman" w:hAnsi="Times New Roman" w:eastAsia="仿宋"/>
                <w:b w:val="0"/>
                <w:sz w:val="18"/>
              </w:rPr>
              <w:t>脚本</w:t>
            </w:r>
          </w:p>
        </w:tc>
        <w:tc>
          <w:tcPr>
            <w:tcW w:type="dxa" w:w="2880"/>
          </w:tcPr>
          <w:p>
            <w:r/>
            <w:r>
              <w:rPr>
                <w:rFonts w:ascii="Times New Roman" w:hAnsi="Times New Roman" w:eastAsia="仿宋"/>
                <w:b w:val="0"/>
                <w:sz w:val="18"/>
              </w:rPr>
              <w:t>16个</w:t>
            </w:r>
          </w:p>
        </w:tc>
        <w:tc>
          <w:tcPr>
            <w:tcW w:type="dxa" w:w="2880"/>
          </w:tcPr>
          <w:p>
            <w:r/>
            <w:r>
              <w:rPr>
                <w:rFonts w:ascii="Times New Roman" w:hAnsi="Times New Roman" w:eastAsia="仿宋"/>
                <w:b w:val="0"/>
                <w:sz w:val="18"/>
              </w:rPr>
              <w:t>训练、量化、基准、ROS2节点、双机控制全链路</w:t>
            </w:r>
          </w:p>
        </w:tc>
      </w:tr>
    </w:tbl>
    <w:p>
      <w:pPr>
        <w:spacing w:after="40"/>
      </w:pPr>
    </w:p>
    <w:p>
      <w:pPr>
        <w:spacing w:before="200" w:after="120"/>
      </w:pPr>
      <w:r>
        <w:rPr>
          <w:rFonts w:ascii="黑体" w:hAnsi="黑体" w:eastAsia="黑体"/>
          <w:b/>
          <w:sz w:val="26"/>
        </w:rPr>
        <w:t>七、下一步工作计划</w:t>
      </w:r>
    </w:p>
    <w:p>
      <w:pPr>
        <w:spacing w:after="80" w:line="336" w:lineRule="auto"/>
        <w:ind w:firstLine="480"/>
      </w:pPr>
      <w:r>
        <w:rPr>
          <w:rFonts w:ascii="Times New Roman" w:hAnsi="Times New Roman" w:eastAsia="仿宋"/>
          <w:b w:val="0"/>
          <w:sz w:val="24"/>
        </w:rPr>
        <w:t>1. 九月第一优先级是对接刘行师兄的MAPPO代码：拿到代码仓库和原稿Method 3.1至3.7节（学习文档中已标注出6项需向师兄确认的架构细节），先跑通baseline，再将训练环境适配到已搭好的AirSim双机平台。</w:t>
      </w:r>
    </w:p>
    <w:p>
      <w:pPr>
        <w:spacing w:after="80" w:line="336" w:lineRule="auto"/>
        <w:ind w:firstLine="480"/>
      </w:pPr>
      <w:r>
        <w:rPr>
          <w:rFonts w:ascii="Times New Roman" w:hAnsi="Times New Roman" w:eastAsia="仿宋"/>
          <w:b w:val="0"/>
          <w:sz w:val="24"/>
        </w:rPr>
        <w:t>2. 启动E1统计实验（四方法对比、N≥10种子、Wilcoxon检验），为师兄论文数据补统计可信度，同时积累RL实战经验。</w:t>
      </w:r>
    </w:p>
    <w:p>
      <w:pPr>
        <w:spacing w:after="80" w:line="336" w:lineRule="auto"/>
        <w:ind w:firstLine="480"/>
      </w:pPr>
      <w:r>
        <w:rPr>
          <w:rFonts w:ascii="Times New Roman" w:hAnsi="Times New Roman" w:eastAsia="仿宋"/>
          <w:b w:val="0"/>
          <w:sz w:val="24"/>
        </w:rPr>
        <w:t>3. 相位条件化后续迭代方向已由第五轮教训明确：全相位同步扩充并将z值编码进相位参数，预期规则通过率从88%进一步提升至95%以上。</w:t>
      </w:r>
    </w:p>
    <w:p>
      <w:pPr>
        <w:spacing w:after="80" w:line="336" w:lineRule="auto"/>
        <w:ind w:firstLine="480"/>
      </w:pPr>
      <w:r>
        <w:rPr>
          <w:rFonts w:ascii="Times New Roman" w:hAnsi="Times New Roman" w:eastAsia="仿宋"/>
          <w:b w:val="0"/>
          <w:sz w:val="24"/>
        </w:rPr>
        <w:t>4. 待Jetson设备到货后在机载平台重跑五档量化基准，形成双平台对比数据。</w:t>
      </w:r>
    </w:p>
    <w:p>
      <w:pPr>
        <w:spacing w:after="80" w:line="336" w:lineRule="auto"/>
        <w:ind w:firstLine="480"/>
      </w:pPr>
      <w:r>
        <w:rPr>
          <w:rFonts w:ascii="Times New Roman" w:hAnsi="Times New Roman" w:eastAsia="仿宋"/>
          <w:b w:val="0"/>
          <w:sz w:val="24"/>
        </w:rPr>
        <w:t>以上是我本月的工作总结。从月初一份无法运行的样本代码，到月末具备参数泛化能力的相位条件化模型和双机独立控制平台，所有结论均有日志和脚本可复现。五轮迭代中两次失败的根因分析让我深刻体会到"数据设计决定模型行为"，这些方法论边界正是九月正式实验最需要的前期积累。恳请老师批评指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