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真实合同案例-推拿师竞业条款</w:t>
      </w:r>
    </w:p>
    <w:p>
      <w:r>
        <w:rPr>
          <w:color w:val="71847D"/>
        </w:rPr>
        <w:t>第 1 版  |  生成时间：2026-10-06 20:48</w:t>
      </w:r>
    </w:p>
    <w:p>
      <w:r>
        <w:rPr>
          <w:color w:val="71847D"/>
        </w:rPr>
        <w:t>本报告依据已提供材料进行风险提示；风险等级不是违法认定或风险概率。</w:t>
      </w:r>
    </w:p>
    <w:p>
      <w:pPr>
        <w:pStyle w:val="Heading1"/>
      </w:pPr>
      <w:r>
        <w:t>01  结论与风险概览</w:t>
      </w:r>
    </w:p>
    <w:p>
      <w:pPr>
        <w:shd w:fill="EDF6F1"/>
      </w:pPr>
      <w:r>
        <w:t>材料为按公开资料整理的摘录（声明非合同原件、不补造未公开条款），显示：2017年1月10日入职某公司从事推拿师工作；双方签员工保密协议，约定离职后两年内不得从事同类产品或同类企业的相关服务，否则一次性支付不低于50000元违约金；2017年11月取得高级小儿推拿职业培训师证书；2021年5月离职，同年7月入职某社区卫生服务中心中药房；公司称员工掌握客户资料、产品报价方案、培训课程并索要50000元。材料同时载明：客户资料为服务中接触的名称、联系方式等基本信息，报价对客户公开、咨询即可获得，课件内容多为行业内中医小儿推拿常识，且未提供完整协议、竞业补偿支付记录及所称其他秘密的具体证据。公司主张不是已确认债务，材料不含法院评价、裁判结果或案号。以下为有限风险提示，不是违法认定，不预设裁判结果。</w:t>
      </w:r>
    </w:p>
    <w:p>
      <w:r>
        <w:rPr>
          <w:b/>
        </w:rPr>
        <w:t xml:space="preserve">概览依据：  </w:t>
      </w:r>
      <w:r>
        <w:rPr>
          <w:color w:val="71847D"/>
        </w:rPr>
        <w:t>LCL-024、LAB-J2-013、LCL-023</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竞业限制主体适格与真实保密事项存疑，索偿前提基础不稳</w:t>
            </w:r>
          </w:p>
        </w:tc>
        <w:tc>
          <w:tcPr>
            <w:tcW w:type="dxa" w:w="5443"/>
          </w:tcPr>
          <w:p>
            <w:pPr>
              <w:spacing w:line="288" w:lineRule="auto" w:after="140" w:before="140"/>
            </w:pPr>
            <w:r>
              <w:rPr>
                <w:sz w:val="19"/>
              </w:rPr>
              <w:t>向公司书面要求提供：完整保密/竞业协议文本、主张保护的具体秘密清单及采取的保密措施、竞业补偿支付记录，并保留往来记录。</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两年期限未载地域范围、违约金"不低于50000元"，合理比例存疑</w:t>
            </w:r>
          </w:p>
        </w:tc>
        <w:tc>
          <w:tcPr>
            <w:tcW w:type="dxa" w:w="5443"/>
          </w:tcPr>
          <w:p>
            <w:pPr>
              <w:spacing w:line="288" w:lineRule="auto" w:after="140" w:before="140"/>
            </w:pPr>
            <w:r>
              <w:rPr>
                <w:sz w:val="19"/>
              </w:rPr>
              <w:t>要求公司书面说明50000元的计算依据及所受实际损失。</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新岗位（社区卫生服务中心中药房）是否构成竞争关系需个案判断</w:t>
            </w:r>
          </w:p>
        </w:tc>
        <w:tc>
          <w:tcPr>
            <w:tcW w:type="dxa" w:w="5443"/>
          </w:tcPr>
          <w:p>
            <w:pPr>
              <w:spacing w:line="288" w:lineRule="auto" w:after="140" w:before="140"/>
            </w:pPr>
            <w:r>
              <w:rPr>
                <w:sz w:val="19"/>
              </w:rPr>
              <w:t>了解并记录新岗位的实际工作内容、服务对象、业务范围及与原单位业务的重合度。</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公司是否按月支付竞业限制经济补偿不明，影响对价平衡与请求权基础</w:t>
            </w:r>
          </w:p>
        </w:tc>
        <w:tc>
          <w:tcPr>
            <w:tcW w:type="dxa" w:w="5443"/>
          </w:tcPr>
          <w:p>
            <w:pPr>
              <w:spacing w:line="288" w:lineRule="auto" w:after="140" w:before="140"/>
            </w:pPr>
            <w:r>
              <w:rPr>
                <w:sz w:val="19"/>
              </w:rPr>
              <w:t>调取离职后至被索偿期间的银行流水、社保或收款记录，核对公司是否按月支付过竞业限制经济补偿。</w:t>
            </w:r>
          </w:p>
        </w:tc>
      </w:tr>
    </w:tbl>
    <w:p>
      <w:pPr>
        <w:pStyle w:val="Heading1"/>
      </w:pPr>
      <w:r>
        <w:t>02  风险详情</w:t>
      </w:r>
    </w:p>
    <w:p>
      <w:pPr>
        <w:pStyle w:val="Heading2"/>
        <w:keepNext/>
      </w:pPr>
      <w:r>
        <w:rPr>
          <w:color w:val="B78224"/>
        </w:rPr>
        <w:t>01  竞业限制主体适格与真实保密事项存疑，索偿前提基础不稳  ·  需关注</w:t>
      </w:r>
    </w:p>
    <w:p>
      <w:pPr>
        <w:keepNext/>
        <w:shd w:fill="F3F6F5"/>
      </w:pPr>
      <w:r>
        <w:rPr>
          <w:b/>
        </w:rPr>
        <w:t xml:space="preserve">材料原文  </w:t>
      </w:r>
      <w:r>
        <w:t>没有提供完整协议、竞业补偿支付记录及公司所称其他秘密的具体证据。</w:t>
      </w:r>
    </w:p>
    <w:p>
      <w:pPr>
        <w:keepNext/>
      </w:pPr>
      <w:r>
        <w:rPr>
          <w:b/>
        </w:rPr>
        <w:t xml:space="preserve">原文位置  </w:t>
      </w:r>
      <w:r>
        <w:rPr>
          <w:color w:val="71847D"/>
        </w:rPr>
        <w:t>测试招聘信息或待签合同 · 第1页</w:t>
      </w:r>
    </w:p>
    <w:p>
      <w:pPr>
        <w:keepNext/>
      </w:pPr>
      <w:r>
        <w:rPr>
          <w:b/>
        </w:rPr>
        <w:t xml:space="preserve">风险说明  </w:t>
      </w:r>
      <w:r>
        <w:t>公司以员工掌握客户资料、产品报价方案、培训课程为由主张竞业限制并索要50000元违约金，但材料未提供完整协议、竞业补偿支付记录及所称其他秘密的具体证据，无法判断是否存在真实、可保护的商业秘密与保密事项。劳动合同法第二十四条将竞业限制人员限于高级管理人员、高级技术人员和其他负有保密义务的人员；现有事实仅显示岗位为推拿师并取得高级小儿推拿职业培训师证书，证书本身不等于接触商业秘密。结合材料披露的客户资料、报价方案、课件的实际内容，相关信息的秘密性、保密措施与商业价值均未证实。若员工实际未知悉、未接触商业秘密和与知识产权相关的保密事项，可依据劳动争议司法解释（二）第十三条请求确认竞业限制条款不生效；该解释自2025年9月1日起施行，本案行为发生在2021年前后，适用时需核对当时规则与现行解释的衔接。上述均为待核实的风险与抗辩方向，不构成违法认定。</w:t>
      </w:r>
    </w:p>
    <w:p>
      <w:pPr>
        <w:keepNext/>
      </w:pPr>
      <w:r>
        <w:rPr>
          <w:b/>
        </w:rPr>
        <w:t xml:space="preserve">分析依据  </w:t>
      </w:r>
      <w:r>
        <w:t>LCL-024 · 中华人民共和国劳动合同法 · 第二十四条</w:t>
      </w:r>
    </w:p>
    <w:p>
      <w:pPr>
        <w:keepNext/>
      </w:pPr>
      <w:r>
        <w:rPr>
          <w:b/>
        </w:rPr>
        <w:t xml:space="preserve">分析依据  </w:t>
      </w:r>
      <w:r>
        <w:t>LAB-J2-013 · 最高人民法院关于审理劳动争议案件适用法律问题的解释（二）第十三条 · 第十三条</w:t>
      </w:r>
    </w:p>
    <w:p>
      <w:pPr>
        <w:keepNext/>
      </w:pPr>
      <w:r>
        <w:rPr>
          <w:color w:val="287B65"/>
        </w:rPr>
        <w:t>建议行动</w:t>
      </w:r>
    </w:p>
    <w:p>
      <w:pPr>
        <w:pStyle w:val="ListBullet"/>
        <w:keepNext/>
      </w:pPr>
      <w:r>
        <w:t>向公司书面要求提供：完整保密/竞业协议文本、主张保护的具体秘密清单及采取的保密措施、竞业补偿支付记录，并保留往来记录。</w:t>
      </w:r>
    </w:p>
    <w:p>
      <w:pPr>
        <w:pStyle w:val="ListBullet"/>
        <w:keepNext/>
      </w:pPr>
      <w:r>
        <w:t>自查并留存实际接触信息种类的记录：客户名称/联系方式是否为行业内可普遍获得、报价是否对客户公开、课件内容是否属行业常识，这三点是判断有无商业秘密的关键事实。</w:t>
      </w:r>
    </w:p>
    <w:p>
      <w:pPr>
        <w:pStyle w:val="ListBullet"/>
        <w:keepNext w:val="0"/>
      </w:pPr>
      <w:r>
        <w:t>在事实和依据未核实前，不要先行支付或签署承认该违约金的确认文件。</w:t>
      </w:r>
    </w:p>
    <w:p>
      <w:pPr>
        <w:pStyle w:val="Heading2"/>
        <w:keepNext/>
      </w:pPr>
      <w:r>
        <w:rPr>
          <w:color w:val="B78224"/>
        </w:rPr>
        <w:t>02  两年期限未载地域范围、违约金"不低于50000元"，合理比例存疑  ·  需关注</w:t>
      </w:r>
    </w:p>
    <w:p>
      <w:pPr>
        <w:keepNext/>
        <w:shd w:fill="F3F6F5"/>
      </w:pPr>
      <w:r>
        <w:rPr>
          <w:b/>
        </w:rPr>
        <w:t xml:space="preserve">材料原文  </w:t>
      </w:r>
      <w:r>
        <w:t>双方签订员工保密协议，约定离职后两年内不得从事同类产品或同类企业的相关服务，否则一次</w:t>
      </w:r>
      <w:r>
        <w:br/>
      </w:r>
      <w:r>
        <w:t>性支付不低于50000元违约金。</w:t>
      </w:r>
    </w:p>
    <w:p>
      <w:pPr>
        <w:keepNext/>
      </w:pPr>
      <w:r>
        <w:rPr>
          <w:b/>
        </w:rPr>
        <w:t xml:space="preserve">原文位置  </w:t>
      </w:r>
      <w:r>
        <w:rPr>
          <w:color w:val="71847D"/>
        </w:rPr>
        <w:t>测试招聘信息或待签合同 · 第1页</w:t>
      </w:r>
    </w:p>
    <w:p>
      <w:pPr>
        <w:keepNext/>
      </w:pPr>
      <w:r>
        <w:rPr>
          <w:b/>
        </w:rPr>
        <w:t xml:space="preserve">风险说明  </w:t>
      </w:r>
      <w:r>
        <w:t>条款约定离职后两年内不得从事同类产品或同类企业的相关服务，未记载地域范围，并设定"一次性支付不低于50000元违约金"，"不低于"使金额含义不确定。劳动合同法第二十四条规定竞业限制的范围、地域、期限由双方约定且不得违反法律法规，期限上限为二年；两年期限本身未超上限，但其范围、地域是否与劳动者实际知悉、接触的秘密相适应仍需判断。若约定的范围、地域、期限与劳动者知悉、接触的商业秘密不相适应，可依劳动争议司法解释（二）第十三条请求确认超过合理比例部分无效。是否主张、主张何种效力后果，应结合完整协议与个案事实确定。</w:t>
      </w:r>
    </w:p>
    <w:p>
      <w:pPr>
        <w:keepNext/>
      </w:pPr>
      <w:r>
        <w:rPr>
          <w:b/>
        </w:rPr>
        <w:t xml:space="preserve">分析依据  </w:t>
      </w:r>
      <w:r>
        <w:t>LCL-024 · 中华人民共和国劳动合同法 · 第二十四条</w:t>
      </w:r>
    </w:p>
    <w:p>
      <w:pPr>
        <w:keepNext/>
      </w:pPr>
      <w:r>
        <w:rPr>
          <w:b/>
        </w:rPr>
        <w:t xml:space="preserve">分析依据  </w:t>
      </w:r>
      <w:r>
        <w:t>LAB-J2-013 · 最高人民法院关于审理劳动争议案件适用法律问题的解释（二）第十三条 · 第十三条</w:t>
      </w:r>
    </w:p>
    <w:p>
      <w:pPr>
        <w:keepNext/>
      </w:pPr>
      <w:r>
        <w:rPr>
          <w:color w:val="287B65"/>
        </w:rPr>
        <w:t>建议行动</w:t>
      </w:r>
    </w:p>
    <w:p>
      <w:pPr>
        <w:pStyle w:val="ListBullet"/>
        <w:keepNext/>
      </w:pPr>
      <w:r>
        <w:t>要求公司书面说明50000元的计算依据及所受实际损失。</w:t>
      </w:r>
    </w:p>
    <w:p>
      <w:pPr>
        <w:pStyle w:val="ListBullet"/>
        <w:keepNext/>
      </w:pPr>
      <w:r>
        <w:t>保留协议中关于范围、地域、期限约定的原始文本，对照自身实际工作内容评估合理性。</w:t>
      </w:r>
    </w:p>
    <w:p>
      <w:pPr>
        <w:pStyle w:val="ListBullet"/>
        <w:keepNext w:val="0"/>
      </w:pPr>
      <w:r>
        <w:t>进入仲裁或诉讼时，可考虑请求确认条款不生效或超过合理比例部分无效，具体方案先咨询当地劳动仲裁机构或专业律师。</w:t>
      </w:r>
    </w:p>
    <w:p>
      <w:pPr>
        <w:pStyle w:val="Heading2"/>
        <w:keepNext/>
      </w:pPr>
      <w:r>
        <w:rPr>
          <w:color w:val="69798B"/>
        </w:rPr>
        <w:t>03  新岗位（社区卫生服务中心中药房）是否构成竞争关系需个案判断  ·  待核实</w:t>
      </w:r>
    </w:p>
    <w:p>
      <w:pPr>
        <w:keepNext/>
        <w:shd w:fill="F3F6F5"/>
      </w:pPr>
      <w:r>
        <w:rPr>
          <w:b/>
        </w:rPr>
        <w:t xml:space="preserve">材料原文  </w:t>
      </w:r>
      <w:r>
        <w:t>2021年5月离职，同年7月入职某社区卫生服务中心中药房。</w:t>
      </w:r>
    </w:p>
    <w:p>
      <w:pPr>
        <w:keepNext/>
      </w:pPr>
      <w:r>
        <w:rPr>
          <w:b/>
        </w:rPr>
        <w:t xml:space="preserve">原文位置  </w:t>
      </w:r>
      <w:r>
        <w:rPr>
          <w:color w:val="71847D"/>
        </w:rPr>
        <w:t>测试招聘信息或待签合同 · 第1页</w:t>
      </w:r>
    </w:p>
    <w:p>
      <w:pPr>
        <w:keepNext/>
      </w:pPr>
      <w:r>
        <w:rPr>
          <w:b/>
        </w:rPr>
        <w:t xml:space="preserve">风险说明  </w:t>
      </w:r>
      <w:r>
        <w:t>材料显示员工2021年7月入职某社区卫生服务中心中药房，与其原从事的小儿推拿业务是否属于到生产或经营同类产品、从事同类业务的有竞争关系的其他用人单位，材料未给出原单位业务范围与新岗位实际职责，无法判定。这是决定是否落入竞业限制范围的直接事实，不宜推测，也不宜仅凭岗位名称认定。</w:t>
      </w:r>
    </w:p>
    <w:p>
      <w:pPr>
        <w:keepNext/>
      </w:pPr>
      <w:r>
        <w:rPr>
          <w:b/>
        </w:rPr>
        <w:t xml:space="preserve">分析依据  </w:t>
      </w:r>
      <w:r>
        <w:t>LCL-024 · 中华人民共和国劳动合同法 · 第二十四条</w:t>
      </w:r>
    </w:p>
    <w:p>
      <w:pPr>
        <w:keepNext/>
      </w:pPr>
      <w:r>
        <w:rPr>
          <w:color w:val="287B65"/>
        </w:rPr>
        <w:t>建议行动</w:t>
      </w:r>
    </w:p>
    <w:p>
      <w:pPr>
        <w:pStyle w:val="ListBullet"/>
        <w:keepNext/>
      </w:pPr>
      <w:r>
        <w:t>了解并记录新岗位的实际工作内容、服务对象、业务范围及与原单位业务的重合度。</w:t>
      </w:r>
    </w:p>
    <w:p>
      <w:pPr>
        <w:pStyle w:val="ListBullet"/>
        <w:keepNext w:val="0"/>
      </w:pPr>
      <w:r>
        <w:t>在争议中主张应就该重合度进行实质审查，而非仅凭单位或岗位名称认定违约。</w:t>
      </w:r>
    </w:p>
    <w:p>
      <w:pPr>
        <w:pStyle w:val="Heading2"/>
        <w:keepNext/>
      </w:pPr>
      <w:r>
        <w:rPr>
          <w:color w:val="B78224"/>
        </w:rPr>
        <w:t>04  公司是否按月支付竞业限制经济补偿不明，影响对价平衡与请求权基础  ·  需关注</w:t>
      </w:r>
    </w:p>
    <w:p>
      <w:pPr>
        <w:keepNext/>
        <w:shd w:fill="F3F6F5"/>
      </w:pPr>
      <w:r>
        <w:rPr>
          <w:b/>
        </w:rPr>
        <w:t xml:space="preserve">材料原文  </w:t>
      </w:r>
      <w:r>
        <w:t>没有提供完整协议、竞业补偿支付记录及公司所称其他秘密的具体证据。</w:t>
      </w:r>
    </w:p>
    <w:p>
      <w:pPr>
        <w:keepNext/>
      </w:pPr>
      <w:r>
        <w:rPr>
          <w:b/>
        </w:rPr>
        <w:t xml:space="preserve">原文位置  </w:t>
      </w:r>
      <w:r>
        <w:rPr>
          <w:color w:val="71847D"/>
        </w:rPr>
        <w:t>测试招聘信息或待签合同 · 第1页</w:t>
      </w:r>
    </w:p>
    <w:p>
      <w:pPr>
        <w:keepNext/>
      </w:pPr>
      <w:r>
        <w:rPr>
          <w:b/>
        </w:rPr>
        <w:t xml:space="preserve">风险说明  </w:t>
      </w:r>
      <w:r>
        <w:t>劳动合同法第二十三条规定，对负有保密义务的劳动者约定竞业限制的，应约定在解除或者终止劳动合同后在竞业限制期限内按月给予经济补偿。材料未见任何竞业补偿支付记录，公司是否履行补偿义务不明。该事实关系竞业条款的对价基础、公司主张违约金请求权的基础以及是否可据此抗辩，需结合完整协议与支付凭证核实，不宜直接假定公司未支付或已支付。</w:t>
      </w:r>
    </w:p>
    <w:p>
      <w:pPr>
        <w:keepNext/>
      </w:pPr>
      <w:r>
        <w:rPr>
          <w:b/>
        </w:rPr>
        <w:t xml:space="preserve">分析依据  </w:t>
      </w:r>
      <w:r>
        <w:t>LCL-023 · 中华人民共和国劳动合同法 · 第二十三条</w:t>
      </w:r>
    </w:p>
    <w:p>
      <w:pPr>
        <w:keepNext/>
      </w:pPr>
      <w:r>
        <w:rPr>
          <w:color w:val="287B65"/>
        </w:rPr>
        <w:t>建议行动</w:t>
      </w:r>
    </w:p>
    <w:p>
      <w:pPr>
        <w:pStyle w:val="ListBullet"/>
        <w:keepNext/>
      </w:pPr>
      <w:r>
        <w:t>调取离职后至被索偿期间的银行流水、社保或收款记录，核对公司是否按月支付过竞业限制经济补偿。</w:t>
      </w:r>
    </w:p>
    <w:p>
      <w:pPr>
        <w:pStyle w:val="ListBullet"/>
        <w:keepNext w:val="0"/>
      </w:pPr>
      <w:r>
        <w:t>若经核实公司长期未按约定支付，在答复或答辩中提出对价缺失问题，并咨询劳动仲裁机构或律师该情形对条款效力与违约金请求的影响。</w:t>
      </w:r>
    </w:p>
    <w:p>
      <w:pPr>
        <w:pStyle w:val="Heading1"/>
      </w:pPr>
      <w:r>
        <w:t>03  待核实事项与分析局限</w:t>
      </w:r>
    </w:p>
    <w:p>
      <w:pPr>
        <w:pStyle w:val="ListBullet"/>
      </w:pPr>
      <w:r>
        <w:t>材料为按公开资料整理的摘录，明确声明非合同原件、不补造未公开条款，也未提供完整保密协议、竞业补偿支付记录、损失证据、社保及工资流水，因此以上均为有限条件下的风险与抗辩方向提示，不是违法认定或结果预测。</w:t>
      </w:r>
    </w:p>
    <w:p>
      <w:pPr>
        <w:pStyle w:val="ListBullet"/>
      </w:pPr>
      <w:r>
        <w:t>材料未提供法院评价、裁判结果或案号，无法据此判断个案走向；本报告未引用任何检索案例作为事实依据。</w:t>
      </w:r>
    </w:p>
    <w:p>
      <w:pPr>
        <w:pStyle w:val="ListBullet"/>
      </w:pPr>
      <w:r>
        <w:t>行为发生于2017—2021年，劳动争议司法解释（二）第十三条自2025年9月1日起施行，能否适用及适用哪一版本规则，需依具体请求时间与仲裁/诉讼时点核实。</w:t>
      </w:r>
    </w:p>
    <w:p>
      <w:pPr>
        <w:pStyle w:val="ListBullet"/>
      </w:pPr>
      <w:r>
        <w:t>材料中50000元为公司主张金额，不是已确认债务，也不代表最终可能判赔数额。</w:t>
      </w:r>
    </w:p>
    <w:p>
      <w:pPr>
        <w:pStyle w:val="ListBullet"/>
      </w:pPr>
      <w:r>
        <w:t>本报告为自查与分析提示，不代表法院、仲裁机构或行政机关的意见。</w:t>
      </w:r>
    </w:p>
    <w:p>
      <w:pPr>
        <w:pStyle w:val="ListBullet"/>
      </w:pPr>
      <w:r>
        <w:t>尚缺欠需核实：竞业限制经济补偿是否实际支付、原单位与新单位的业务范围及岗位职责、协议中是否另有范围/地域/保密义务的具体约定。</w:t>
      </w:r>
    </w:p>
    <w:p>
      <w:pPr>
        <w:pStyle w:val="Heading1"/>
      </w:pPr>
      <w:r>
        <w:t>04  依据与来源</w:t>
      </w:r>
    </w:p>
    <w:p>
      <w:r>
        <w:rPr>
          <w:color w:val="71847D"/>
        </w:rPr>
        <w:t>法条、风险提示、指南及案例分别标注；案例结论只用于个案参考。</w:t>
      </w:r>
    </w:p>
    <w:p>
      <w:pPr>
        <w:pStyle w:val="Heading2"/>
        <w:keepNext/>
      </w:pPr>
      <w:r>
        <w:t>LCL-024  中华人民共和国劳动合同法</w:t>
      </w:r>
    </w:p>
    <w:p>
      <w:pPr>
        <w:keepNext/>
        <w:spacing w:line="288" w:lineRule="auto" w:after="80"/>
      </w:pPr>
      <w:r>
        <w:rPr>
          <w:color w:val="71847D"/>
          <w:sz w:val="19"/>
        </w:rPr>
        <w:t>法律条文 · 第二十四条</w:t>
      </w:r>
    </w:p>
    <w:p>
      <w:pPr>
        <w:keepNext/>
        <w:spacing w:line="288" w:lineRule="auto" w:after="80"/>
      </w:pPr>
      <w:r>
        <w:rPr>
          <w:sz w:val="19"/>
        </w:rPr>
        <w:t>第二十四条　竞业限制的人员限于用人单位的高级管理人员、高级技术人员和其他负有保密义务的人员。竞业限制的范围、地域、期限由用人单位与劳动者约定，竞业限制的约定不得违反法律、法规的规定。</w:t>
      </w:r>
      <w:r>
        <w:rPr>
          <w:sz w:val="19"/>
        </w:rPr>
        <w:br/>
      </w:r>
      <w:r>
        <w:rPr>
          <w:sz w:val="19"/>
        </w:rPr>
        <w:t>在解除或者终止劳动合同后，前款规定的人员到与本单位生产或者经营同类产品、从事同类业务的有竞争关系的其他用人单位，或者自己开业生产或者经营同类产品、从事同类业务的竞业限制期限，不得超过二年。</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LAB-J2-013  最高人民法院关于审理劳动争议案件适用法律问题的解释（二）第十三条</w:t>
      </w:r>
    </w:p>
    <w:p>
      <w:pPr>
        <w:keepNext/>
        <w:spacing w:line="288" w:lineRule="auto" w:after="80"/>
      </w:pPr>
      <w:r>
        <w:rPr>
          <w:color w:val="71847D"/>
          <w:sz w:val="19"/>
        </w:rPr>
        <w:t>法律条文 · 第十三条</w:t>
      </w:r>
    </w:p>
    <w:p>
      <w:pPr>
        <w:keepNext/>
        <w:spacing w:line="288" w:lineRule="auto" w:after="80"/>
      </w:pPr>
      <w:r>
        <w:rPr>
          <w:sz w:val="19"/>
        </w:rPr>
        <w:t>第十三条　劳动者未知悉、接触用人单位的商业秘密和与知识产权相关的保密事项，劳动者请求确认竞业限制条款不生效的，人民法院依法予以支持。</w:t>
      </w:r>
      <w:r>
        <w:rPr>
          <w:sz w:val="19"/>
        </w:rPr>
        <w:br/>
      </w:r>
      <w:r>
        <w:rPr>
          <w:sz w:val="19"/>
        </w:rPr>
        <w:t>竞业限制条款约定的竞业限制范围、地域、期限等内容与劳动者知悉、接触的商业秘密和与知识产权相关的保密事项不相适应，劳动者请求确认竞业限制条款超过合理比例部分无效的，人民法院依法予以支持。</w:t>
      </w:r>
    </w:p>
    <w:p>
      <w:pPr>
        <w:keepNext/>
        <w:spacing w:line="288" w:lineRule="auto" w:after="80"/>
      </w:pPr>
      <w:r>
        <w:rPr>
          <w:b/>
          <w:sz w:val="19"/>
        </w:rPr>
        <w:t xml:space="preserve">适用边界  </w:t>
      </w:r>
      <w:r>
        <w:rPr>
          <w:sz w:val="19"/>
        </w:rPr>
        <w:t>2025年9月1日起施行，历史案须核对当时版本；竞业主体和真实保密事项均需核实。</w:t>
      </w:r>
    </w:p>
    <w:p>
      <w:pPr>
        <w:keepNext/>
        <w:spacing w:line="288" w:lineRule="auto" w:after="80"/>
      </w:pPr>
      <w:r>
        <w:rPr>
          <w:b/>
          <w:sz w:val="19"/>
        </w:rPr>
        <w:t xml:space="preserve">资料核对日期  </w:t>
      </w:r>
      <w:r>
        <w:rPr>
          <w:color w:val="71847D"/>
          <w:sz w:val="19"/>
        </w:rPr>
        <w:t>2026-10-06</w:t>
      </w:r>
    </w:p>
    <w:p>
      <w:pPr>
        <w:keepNext w:val="0"/>
        <w:spacing w:line="288" w:lineRule="auto" w:after="80"/>
      </w:pPr>
      <w:r>
        <w:rPr>
          <w:b/>
          <w:sz w:val="19"/>
        </w:rPr>
        <w:t xml:space="preserve">来源链接  </w:t>
      </w:r>
      <w:r>
        <w:rPr>
          <w:sz w:val="19"/>
        </w:rPr>
      </w:r>
      <w:hyperlink r:id="rId14">
        <w:r>
          <w:rPr>
            <w:color w:val="287B65"/>
          </w:rPr>
          <w:t>https://www.court.gov.cn/zixun/xiangqing/472691.html</w:t>
        </w:r>
      </w:hyperlink>
    </w:p>
    <w:p>
      <w:pPr>
        <w:pStyle w:val="Heading2"/>
        <w:keepNext/>
      </w:pPr>
      <w:r>
        <w:t>LCL-023  中华人民共和国劳动合同法</w:t>
      </w:r>
    </w:p>
    <w:p>
      <w:pPr>
        <w:keepNext/>
        <w:spacing w:line="288" w:lineRule="auto" w:after="80"/>
      </w:pPr>
      <w:r>
        <w:rPr>
          <w:color w:val="71847D"/>
          <w:sz w:val="19"/>
        </w:rPr>
        <w:t>法律条文 · 第二十三条</w:t>
      </w:r>
    </w:p>
    <w:p>
      <w:pPr>
        <w:keepNext/>
        <w:spacing w:line="288" w:lineRule="auto" w:after="80"/>
      </w:pPr>
      <w:r>
        <w:rPr>
          <w:sz w:val="19"/>
        </w:rPr>
        <w:t>第二十三条　用人单位与劳动者可以在劳动合同中约定保守用人单位的商业秘密和与知识产权相关的保密事项。</w:t>
      </w:r>
      <w:r>
        <w:rPr>
          <w:sz w:val="19"/>
        </w:rPr>
        <w:br/>
      </w:r>
      <w:r>
        <w:rPr>
          <w:sz w:val="19"/>
        </w:rPr>
        <w:t>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LCL-025  中华人民共和国劳动合同法</w:t>
      </w:r>
    </w:p>
    <w:p>
      <w:pPr>
        <w:keepNext/>
        <w:spacing w:line="288" w:lineRule="auto" w:after="80"/>
      </w:pPr>
      <w:r>
        <w:rPr>
          <w:color w:val="71847D"/>
          <w:sz w:val="19"/>
        </w:rPr>
        <w:t>法律条文 · 第二十五条</w:t>
      </w:r>
    </w:p>
    <w:p>
      <w:pPr>
        <w:keepNext/>
        <w:spacing w:line="288" w:lineRule="auto" w:after="80"/>
      </w:pPr>
      <w:r>
        <w:rPr>
          <w:sz w:val="19"/>
        </w:rPr>
        <w:t>第二十五条　除本法第二十二条和第二十三条规定的情形外，用人单位不得与劳动者约定由劳动者承担违约金。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SUP-F15  三方协议违约金超过5000元</w:t>
      </w:r>
    </w:p>
    <w:p>
      <w:pPr>
        <w:keepNext/>
        <w:spacing w:line="288" w:lineRule="auto" w:after="80"/>
      </w:pPr>
      <w:r>
        <w:rPr>
          <w:color w:val="71847D"/>
          <w:sz w:val="19"/>
        </w:rPr>
        <w:t>辅助资料（团队整理） · 高频问答</w:t>
      </w:r>
    </w:p>
    <w:p>
      <w:pPr>
        <w:keepNext/>
        <w:spacing w:line="288" w:lineRule="auto" w:after="80"/>
      </w:pPr>
      <w:r>
        <w:rPr>
          <w:sz w:val="19"/>
        </w:rPr>
        <w:t>不存在统一的5000元或5万元判定阈值。应核对是否违约、条款、实际损失、请求调整的条件；过分高于损失可依法请求适当减少，结果不能保证。劳动合同违约金另须核对劳动合同法第二十二至二十五条，不能混用。</w:t>
      </w:r>
      <w:r>
        <w:rPr>
          <w:sz w:val="19"/>
        </w:rPr>
        <w:br/>
      </w:r>
      <w:r>
        <w:rPr>
          <w:sz w:val="19"/>
        </w:rPr>
        <w:t>关联依据编号：SUP-L-civil-585、LCL-022、LCL-023、LCL-025</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https://www.court.gov.cn/zixun/xiangqing/233181.html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court.gov.cn/zixun/xiangqing/472691.html" TargetMode="External"/><Relationship Id="rId15" Type="http://schemas.openxmlformats.org/officeDocument/2006/relationships/hyperlink" Target="https://www.court.gov.cn/zixun/xiangqing/23318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