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真实招聘案例-登记参观未用工</w:t>
      </w:r>
    </w:p>
    <w:p>
      <w:r>
        <w:rPr>
          <w:color w:val="71847D"/>
        </w:rPr>
        <w:t>第 1 版  |  生成时间：2026-10-06 20:47</w:t>
      </w:r>
    </w:p>
    <w:p>
      <w:r>
        <w:rPr>
          <w:color w:val="71847D"/>
        </w:rPr>
        <w:t>本报告依据已提供材料进行风险提示；风险等级不是违法认定或风险概率。</w:t>
      </w:r>
    </w:p>
    <w:p>
      <w:pPr>
        <w:pStyle w:val="Heading1"/>
      </w:pPr>
      <w:r>
        <w:t>01  结论与风险概览</w:t>
      </w:r>
    </w:p>
    <w:p>
      <w:pPr>
        <w:shd w:fill="EDF6F1"/>
      </w:pPr>
      <w:r>
        <w:t>本材料是2020年10月5日一名求职者到某橡胶公司求职的登记与参观事实摘录（材料自述为非招聘启事原件，且不含法院判断、处理结果或案号）。材料记载：当天填写求职登记表、中午在食堂就餐、下午在车间了解工作环境时昏倒并被送医；登记表不具备劳动合同期限、工作内容、劳动报酬等必备条款；当天只是登记求职、了解环境，未安排其从事有报酬的工作。按《劳动合同法》第七条，劳动关系自用工之日起建立，因此仅凭现有事实尚不足以认定双方已建立劳动关系，也不足以据此直接主张工伤保险待遇。本报告为有限报告，未预设公司违法，也未预设双方已建立劳动关系；具体结论取决于后续补充的用工与管理事实。</w:t>
      </w:r>
    </w:p>
    <w:p>
      <w:r>
        <w:rPr>
          <w:b/>
        </w:rPr>
        <w:t xml:space="preserve">概览依据：  </w:t>
      </w:r>
      <w:r>
        <w:rPr>
          <w:color w:val="71847D"/>
        </w:rPr>
        <w:t>LCL-007、LCL-017、C002-reasoning、C002-outcome、SUP-F06、SUP-R024、O008-facts、O008-reasoning、O008-outcome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现有事实不足以认定劳动关系已建立（登记、就餐、参观均不当然等于用工）</w:t>
            </w:r>
          </w:p>
        </w:tc>
        <w:tc>
          <w:tcPr>
            <w:tcW w:type="dxa" w:w="5443"/>
          </w:tcPr>
          <w:p>
            <w:pPr>
              <w:spacing w:line="288" w:lineRule="auto" w:after="140" w:before="140"/>
            </w:pPr>
            <w:r>
              <w:rPr>
                <w:sz w:val="19"/>
              </w:rPr>
              <w:t>（一般性行动建议，非法律认定）整理并固定与当日行程相关的客观材料，如求职登记表完整版、招聘沟通记录（微信、短信、邮件）、面试或参观的邀约信息、是否有工作人员安排或指派任务的记录。</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工伤待遇请求目前缺乏认定基础：先解决劳动关系或其他法定责任情形</w:t>
            </w:r>
          </w:p>
        </w:tc>
        <w:tc>
          <w:tcPr>
            <w:tcW w:type="dxa" w:w="5443"/>
          </w:tcPr>
          <w:p>
            <w:pPr>
              <w:spacing w:line="288" w:lineRule="auto" w:after="140" w:before="140"/>
            </w:pPr>
            <w:r>
              <w:rPr>
                <w:sz w:val="19"/>
              </w:rPr>
              <w:t>（一般性行动建议，非法律认定）若需主张工伤，通常应尽快向用人单位所在地人社部门申请工伤认定，并注意申请时限；具体时限与主体须以现行《工伤保险条例》及当地规定为准，本报告未就其作出认定。</w:t>
            </w:r>
          </w:p>
        </w:tc>
      </w:tr>
    </w:tbl>
    <w:p>
      <w:pPr>
        <w:pStyle w:val="Heading1"/>
      </w:pPr>
      <w:r>
        <w:t>02  风险详情</w:t>
      </w:r>
    </w:p>
    <w:p>
      <w:pPr>
        <w:pStyle w:val="Heading2"/>
        <w:keepNext/>
      </w:pPr>
      <w:r>
        <w:rPr>
          <w:color w:val="69798B"/>
        </w:rPr>
        <w:t>01  现有事实不足以认定劳动关系已建立（登记、就餐、参观均不当然等于用工）  ·  待核实</w:t>
      </w:r>
    </w:p>
    <w:p>
      <w:pPr>
        <w:keepNext/>
        <w:shd w:fill="F3F6F5"/>
      </w:pPr>
      <w:r>
        <w:rPr>
          <w:b/>
        </w:rPr>
        <w:t xml:space="preserve">材料原文  </w:t>
      </w:r>
      <w:r>
        <w:t>当天只是登记求职、了解环境，未安排其从事有报酬的工作。</w:t>
      </w:r>
    </w:p>
    <w:p>
      <w:pPr>
        <w:keepNext/>
      </w:pPr>
      <w:r>
        <w:rPr>
          <w:b/>
        </w:rPr>
        <w:t xml:space="preserve">原文位置  </w:t>
      </w:r>
      <w:r>
        <w:rPr>
          <w:color w:val="71847D"/>
        </w:rPr>
        <w:t>测试招聘信息或待签合同 · 第1页</w:t>
      </w:r>
    </w:p>
    <w:p>
      <w:pPr>
        <w:keepNext/>
      </w:pPr>
      <w:r>
        <w:rPr>
          <w:b/>
        </w:rPr>
        <w:t xml:space="preserve">风险说明  </w:t>
      </w:r>
      <w:r>
        <w:t>《劳动合同法》第七条：用人单位自用工之日起即与劳动者建立劳动关系。是否构成“用工”，核心看是否实际接受单位劳动管理、从事单位安排的劳动、并由单位支付劳动报酬。本材料明确记载：当天只是登记求职、了解环境，未安排其从事有报酬的工作；登记表也不具备劳动合同期限、工作内容、劳动报酬等合同必备条款（第十七条）。仅填写求职登记表、在食堂就餐、到车间参观了解环境，通常属于求职洽谈与应聘环节，不当然构成已实际用工，也不因此当然成立劳动关系。需提示：这只是依据现有书面记载的初步判断，不是对劳动关系的最终认定；若后续出现实际被安排干活、接受考勤与指挥、约定报酬等证据，结论可能改变。相关案例（C002，用户提供文书载明终审，仅核对用户提供文档、未核验法院官方来源）中，法院是依据实际接受劳动管理、取得劳动报酬、工作属于公司业务组成等因素认定劳动关系，其事实与本案“未安排有报酬工作”的记载明显不同，不能直接套用。</w:t>
      </w:r>
    </w:p>
    <w:p>
      <w:pPr>
        <w:keepNext/>
      </w:pPr>
      <w:r>
        <w:rPr>
          <w:b/>
        </w:rPr>
        <w:t xml:space="preserve">分析依据  </w:t>
      </w:r>
      <w:r>
        <w:t>LCL-007 · 中华人民共和国劳动合同法 · 第七条</w:t>
      </w:r>
    </w:p>
    <w:p>
      <w:pPr>
        <w:keepNext/>
      </w:pPr>
      <w:r>
        <w:rPr>
          <w:b/>
        </w:rPr>
        <w:t xml:space="preserve">分析依据  </w:t>
      </w:r>
      <w:r>
        <w:t>LCL-017 · 中华人民共和国劳动合同法 · 第十七条</w:t>
      </w:r>
    </w:p>
    <w:p>
      <w:pPr>
        <w:keepNext/>
      </w:pPr>
      <w:r>
        <w:rPr>
          <w:b/>
        </w:rPr>
        <w:t xml:space="preserve">分析依据  </w:t>
      </w:r>
      <w:r>
        <w:t>C002-reasoning · 未签劳动合同、未缴社保与实际劳动关系争议 · 法院理由；用户提供文书 P57–P59、P62–P63</w:t>
      </w:r>
    </w:p>
    <w:p>
      <w:pPr>
        <w:keepNext/>
      </w:pPr>
      <w:r>
        <w:rPr>
          <w:b/>
        </w:rPr>
        <w:t xml:space="preserve">分析依据  </w:t>
      </w:r>
      <w:r>
        <w:t>C002-outcome · 未签劳动合同、未缴社保与实际劳动关系争议 · 裁判结果；用户提供文书 P60、P64–P67</w:t>
      </w:r>
    </w:p>
    <w:p>
      <w:pPr>
        <w:keepNext/>
      </w:pPr>
      <w:r>
        <w:rPr>
          <w:b/>
        </w:rPr>
        <w:t xml:space="preserve">分析依据  </w:t>
      </w:r>
      <w:r>
        <w:t>SUP-F06 · 无薪试岗和面试技能测试 · 高频问答</w:t>
      </w:r>
    </w:p>
    <w:p>
      <w:pPr>
        <w:keepNext/>
      </w:pPr>
      <w:r>
        <w:rPr>
          <w:b/>
        </w:rPr>
        <w:t xml:space="preserve">分析依据  </w:t>
      </w:r>
      <w:r>
        <w:t>SUP-R024 · 无薪试岗 · 风险判定辅助</w:t>
      </w:r>
    </w:p>
    <w:p>
      <w:pPr>
        <w:keepNext/>
      </w:pPr>
      <w:r>
        <w:rPr>
          <w:color w:val="287B65"/>
        </w:rPr>
        <w:t>建议行动</w:t>
      </w:r>
    </w:p>
    <w:p>
      <w:pPr>
        <w:pStyle w:val="ListBullet"/>
        <w:keepNext/>
      </w:pPr>
      <w:r>
        <w:t>（一般性行动建议，非法律认定）整理并固定与当日行程相关的客观材料，如求职登记表完整版、招聘沟通记录（微信、短信、邮件）、面试或参观的邀约信息、是否有工作人员安排或指派任务的记录。</w:t>
      </w:r>
    </w:p>
    <w:p>
      <w:pPr>
        <w:pStyle w:val="ListBullet"/>
        <w:keepNext/>
      </w:pPr>
      <w:r>
        <w:t>重点核查是否存在“用工”痕迹：是否有考勤打卡、工牌、门禁记录、被指派具体劳动任务、约定了工资或计件报酬、由公司人员直接指挥管理。若这些都不存在，倾向求职洽谈性质。</w:t>
      </w:r>
    </w:p>
    <w:p>
      <w:pPr>
        <w:pStyle w:val="ListBullet"/>
        <w:keepNext/>
      </w:pPr>
      <w:r>
        <w:t>若公司或现场人员曾口头承诺录用、安排上岗或给付报酬，尽量以书面或聊天记录方式固定，避免事后各执一词。</w:t>
      </w:r>
    </w:p>
    <w:p>
      <w:pPr>
        <w:pStyle w:val="ListBullet"/>
        <w:keepNext w:val="0"/>
      </w:pPr>
      <w:r>
        <w:t>如对是否成立劳动关系有疑问，可先向当地人社部门或劳动争议仲裁机构咨询仲裁时效与举证要求（《劳动争议调解仲裁法》第二十七条：一般时效为一年，自知道或应当知道权利被侵害之日起算），避免因时效问题影响后续主张。</w:t>
      </w:r>
    </w:p>
    <w:p>
      <w:pPr>
        <w:pStyle w:val="Heading2"/>
        <w:keepNext/>
      </w:pPr>
      <w:r>
        <w:rPr>
          <w:color w:val="69798B"/>
        </w:rPr>
        <w:t>02  工伤待遇请求目前缺乏认定基础：先解决劳动关系或其他法定责任情形  ·  待核实</w:t>
      </w:r>
    </w:p>
    <w:p>
      <w:pPr>
        <w:keepNext/>
        <w:shd w:fill="F3F6F5"/>
      </w:pPr>
      <w:r>
        <w:rPr>
          <w:b/>
        </w:rPr>
        <w:t xml:space="preserve">材料原文  </w:t>
      </w:r>
      <w:r>
        <w:t>中午在公司食堂就餐，下午在车间了解工作环境时昏倒，被送往医院治疗。</w:t>
      </w:r>
    </w:p>
    <w:p>
      <w:pPr>
        <w:keepNext/>
      </w:pPr>
      <w:r>
        <w:rPr>
          <w:b/>
        </w:rPr>
        <w:t xml:space="preserve">原文位置  </w:t>
      </w:r>
      <w:r>
        <w:rPr>
          <w:color w:val="71847D"/>
        </w:rPr>
        <w:t>测试招聘信息或待签合同 · 第1页</w:t>
      </w:r>
    </w:p>
    <w:p>
      <w:pPr>
        <w:keepNext/>
      </w:pPr>
      <w:r>
        <w:rPr>
          <w:b/>
        </w:rPr>
        <w:t xml:space="preserve">风险说明  </w:t>
      </w:r>
      <w:r>
        <w:t>工伤保险待遇通常以工伤认定为前提，而工伤认定一般以与用人单位存在劳动关系为基础；因此在劳动关系尚未确认前，直接主张工伤保险待遇缺乏认定基础。本材料记载“下午在车间了解工作环境时昏倒，被送往医院治疗”，但未提供医院材料，昏倒原因、是否与工作有关均不明。需特别注意：并不存在“任何与工作场所有关的伤害都由公司按工伤负责”的规则。最高人民法院公布的案例（O008，官方发布的案例摘要）中，工程违法转包给个人的情形下，即便确认不存在劳动关系，也由承包单位承担工伤保险责任，但该结论适用于该类违法转包且已认定工伤的特定事实，不能据此推出本案这类求职参观昏倒情形也应由公司承担工伤责任。此外，“在工作时间和工作场所内因工作原因受到事故伤害”的认定以及工伤认定申请的法定期限等问题，本材料均无相关信息，需结合具体规定与事实另行核实。</w:t>
      </w:r>
    </w:p>
    <w:p>
      <w:pPr>
        <w:keepNext/>
      </w:pPr>
      <w:r>
        <w:rPr>
          <w:b/>
        </w:rPr>
        <w:t xml:space="preserve">分析依据  </w:t>
      </w:r>
      <w:r>
        <w:t>LCL-007 · 中华人民共和国劳动合同法 · 第七条</w:t>
      </w:r>
    </w:p>
    <w:p>
      <w:pPr>
        <w:keepNext/>
      </w:pPr>
      <w:r>
        <w:rPr>
          <w:b/>
        </w:rPr>
        <w:t xml:space="preserve">分析依据  </w:t>
      </w:r>
      <w:r>
        <w:t>O008-facts · 工程转包给个人，未建立劳动关系仍承担工伤责任 · 案例一 · 基本案情</w:t>
      </w:r>
    </w:p>
    <w:p>
      <w:pPr>
        <w:keepNext/>
      </w:pPr>
      <w:r>
        <w:rPr>
          <w:b/>
        </w:rPr>
        <w:t xml:space="preserve">分析依据  </w:t>
      </w:r>
      <w:r>
        <w:t>O008-reasoning · 工程转包给个人，未建立劳动关系仍承担工伤责任 · 案例一 · 认定理由</w:t>
      </w:r>
    </w:p>
    <w:p>
      <w:pPr>
        <w:keepNext/>
      </w:pPr>
      <w:r>
        <w:rPr>
          <w:b/>
        </w:rPr>
        <w:t xml:space="preserve">分析依据  </w:t>
      </w:r>
      <w:r>
        <w:t>O008-outcome · 工程转包给个人，未建立劳动关系仍承担工伤责任 · 案例一 · 处理结果</w:t>
      </w:r>
    </w:p>
    <w:p>
      <w:pPr>
        <w:keepNext/>
      </w:pPr>
      <w:r>
        <w:rPr>
          <w:color w:val="287B65"/>
        </w:rPr>
        <w:t>建议行动</w:t>
      </w:r>
    </w:p>
    <w:p>
      <w:pPr>
        <w:pStyle w:val="ListBullet"/>
        <w:keepNext/>
      </w:pPr>
      <w:r>
        <w:t>（一般性行动建议，非法律认定）若需主张工伤，通常应尽快向用人单位所在地人社部门申请工伤认定，并注意申请时限；具体时限与主体须以现行《工伤保险条例》及当地规定为准，本报告未就其作出认定。</w:t>
      </w:r>
    </w:p>
    <w:p>
      <w:pPr>
        <w:pStyle w:val="ListBullet"/>
        <w:keepNext/>
      </w:pPr>
      <w:r>
        <w:t>先确认劳动关系：可先申请劳动仲裁确认劳动关系（若主张成立），再决定是否申请工伤认定。</w:t>
      </w:r>
    </w:p>
    <w:p>
      <w:pPr>
        <w:pStyle w:val="ListBullet"/>
        <w:keepNext/>
      </w:pPr>
      <w:r>
        <w:t>向医院调取并保存完整诊疗材料（病历、诊断证明、费用票据），留存事发时间、地点、在场人员信息和现场录像等客观证据。</w:t>
      </w:r>
    </w:p>
    <w:p>
      <w:pPr>
        <w:pStyle w:val="ListBullet"/>
        <w:keepNext w:val="0"/>
      </w:pPr>
      <w:r>
        <w:t>区分两条路径：一是劳动关系+工伤认定；二是若存在违法转包、不具备用工主体资格等法定情形，核实是否属于由相关单位承担工伤保险责任的特定情形。</w:t>
      </w:r>
    </w:p>
    <w:p>
      <w:pPr>
        <w:pStyle w:val="Heading1"/>
      </w:pPr>
      <w:r>
        <w:t>03  待核实事项与分析局限</w:t>
      </w:r>
    </w:p>
    <w:p>
      <w:pPr>
        <w:pStyle w:val="ListBullet"/>
      </w:pPr>
      <w:r>
        <w:t>材料为“求职登记及参观事实摘录，非招聘启事原件”，且明确不含法院判断、处理结果或案号，无法据其确认任何司法机关或行政机关的处理结论。</w:t>
      </w:r>
    </w:p>
    <w:p>
      <w:pPr>
        <w:pStyle w:val="ListBullet"/>
      </w:pPr>
      <w:r>
        <w:t>未提供完整登记表、现场录像、医院材料或其他招聘约定；昏倒原因、伤情程度、是否与工作有关均无材料支持，无法据此判断能否构成工伤。</w:t>
      </w:r>
    </w:p>
    <w:p>
      <w:pPr>
        <w:pStyle w:val="ListBullet"/>
      </w:pPr>
      <w:r>
        <w:t>材料未记载是否被安排具体劳动任务、是否有考勤与劳动管理、是否约定并支付报酬等“用工”要素，因此劳动关系是否成立只能标记为不确定，需补充事实后再判断。</w:t>
      </w:r>
    </w:p>
    <w:p>
      <w:pPr>
        <w:pStyle w:val="ListBullet"/>
      </w:pPr>
      <w:r>
        <w:t>2020年10月5日距今时间较长，是否仍可主张相关权利、劳动争议仲裁时效及工伤认定申请期限是否已过，取决于后续证据与具体规定，本报告不作结论。</w:t>
      </w:r>
    </w:p>
    <w:p>
      <w:pPr>
        <w:pStyle w:val="ListBullet"/>
      </w:pPr>
      <w:r>
        <w:t>本报告为基于有限事实的初步风险分析，不构成法律意见，也不代替人社部门、仲裁机构或法院的认定。</w:t>
      </w:r>
    </w:p>
    <w:p>
      <w:pPr>
        <w:pStyle w:val="Heading1"/>
      </w:pPr>
      <w:r>
        <w:t>04  依据与来源</w:t>
      </w:r>
    </w:p>
    <w:p>
      <w:r>
        <w:rPr>
          <w:color w:val="71847D"/>
        </w:rPr>
        <w:t>法条、风险提示、指南及案例分别标注；案例结论只用于个案参考。</w:t>
      </w:r>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https://www.beijing.gov.cn/zhengce/zhengcefagui/qtwj/201912/t20191219_1307906.html</w:t>
        </w:r>
      </w:hyperlink>
    </w:p>
    <w:p>
      <w:pPr>
        <w:pStyle w:val="Heading2"/>
        <w:keepNext/>
      </w:pPr>
      <w:r>
        <w:t>C002-reasoning  未签劳动合同、未缴社保与实际劳动关系争议</w:t>
      </w:r>
    </w:p>
    <w:p>
      <w:pPr>
        <w:keepNext/>
        <w:spacing w:line="288" w:lineRule="auto" w:after="80"/>
      </w:pPr>
      <w:r>
        <w:rPr>
          <w:color w:val="71847D"/>
          <w:sz w:val="19"/>
        </w:rPr>
        <w:t>案例参考 · 法院理由；用户提供文书 P57–P59、P62–P63</w:t>
      </w:r>
    </w:p>
    <w:p>
      <w:pPr>
        <w:keepNext/>
        <w:spacing w:line="288" w:lineRule="auto" w:after="80"/>
      </w:pPr>
      <w:r>
        <w:rPr>
          <w:sz w:val="19"/>
        </w:rPr>
        <w:t>【用户提供裁判文书的脱敏整理，已对照本地文档，官方真实性与完整性待核验；非法律原文】</w:t>
      </w:r>
      <w:r>
        <w:rPr>
          <w:sz w:val="19"/>
        </w:rPr>
        <w:br/>
      </w:r>
      <w:r>
        <w:rPr>
          <w:sz w:val="19"/>
        </w:rPr>
        <w:t>法院依据实际接受劳动管理、取得劳动报酬、工作属于公司业务组成等因素认定劳动关系；未签书面合同不使实际劳动关系消失。法院不采纳公司关于合作关系的抗辩，支持本案未签书面合同期间的双倍工资差额及因未缴社保解除的经济补偿。仲裁时效及解除通知的效果是该案具体审查内容。</w:t>
      </w:r>
    </w:p>
    <w:p>
      <w:pPr>
        <w:keepNext/>
        <w:spacing w:line="288" w:lineRule="auto" w:after="80"/>
      </w:pPr>
      <w:r>
        <w:rPr>
          <w:b/>
          <w:sz w:val="19"/>
        </w:rPr>
        <w:t xml:space="preserve">适用边界  </w:t>
      </w:r>
      <w:r>
        <w:rPr>
          <w:sz w:val="19"/>
        </w:rPr>
        <w:t>须核实实际管理、报酬、业务组成、工作期限及仲裁时效。补偿与双倍工资金额仅针对本案；对应现行规则须另查法条。</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P57–P59、P62–P63</w:t>
      </w:r>
    </w:p>
    <w:p>
      <w:pPr>
        <w:pStyle w:val="Heading2"/>
        <w:keepNext/>
      </w:pPr>
      <w:r>
        <w:t>C002-outcome  未签劳动合同、未缴社保与实际劳动关系争议</w:t>
      </w:r>
    </w:p>
    <w:p>
      <w:pPr>
        <w:keepNext/>
        <w:spacing w:line="288" w:lineRule="auto" w:after="80"/>
      </w:pPr>
      <w:r>
        <w:rPr>
          <w:color w:val="71847D"/>
          <w:sz w:val="19"/>
        </w:rPr>
        <w:t>案例参考 · 裁判结果；用户提供文书 P60、P64–P67</w:t>
      </w:r>
    </w:p>
    <w:p>
      <w:pPr>
        <w:keepNext/>
        <w:spacing w:line="288" w:lineRule="auto" w:after="80"/>
      </w:pPr>
      <w:r>
        <w:rPr>
          <w:sz w:val="19"/>
        </w:rPr>
        <w:t>【用户提供裁判文书的脱敏整理，已对照本地文档，官方真实性与完整性待核验；非法律原文】</w:t>
      </w:r>
      <w:r>
        <w:rPr>
          <w:sz w:val="19"/>
        </w:rPr>
        <w:br/>
      </w:r>
      <w:r>
        <w:rPr>
          <w:sz w:val="19"/>
        </w:rPr>
        <w:t>二审驳回上诉、维持原判，确认2024年3月10日至2025年4月7日存在劳动关系；支付经济补偿6000元和未订立书面劳动合同的双倍工资差额40086.43元。文书载明终审；不保证其他未签合同或未缴社保情形获得相同金额。</w:t>
      </w:r>
    </w:p>
    <w:p>
      <w:pPr>
        <w:keepNext/>
        <w:spacing w:line="288" w:lineRule="auto" w:after="80"/>
      </w:pPr>
      <w:r>
        <w:rPr>
          <w:b/>
          <w:sz w:val="19"/>
        </w:rPr>
        <w:t xml:space="preserve">适用边界  </w:t>
      </w:r>
      <w:r>
        <w:rPr>
          <w:sz w:val="19"/>
        </w:rPr>
        <w:t>须核实实际管理、报酬、业务组成、工作期限及仲裁时效。补偿与双倍工资金额仅针对本案；对应现行规则须另查法条。</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P60、P64–P67</w:t>
      </w:r>
    </w:p>
    <w:p>
      <w:pPr>
        <w:pStyle w:val="Heading2"/>
        <w:keepNext/>
      </w:pPr>
      <w:r>
        <w:t>O008-facts  工程转包给个人，未建立劳动关系仍承担工伤责任</w:t>
      </w:r>
    </w:p>
    <w:p>
      <w:pPr>
        <w:keepNext/>
        <w:spacing w:line="288" w:lineRule="auto" w:after="80"/>
      </w:pPr>
      <w:r>
        <w:rPr>
          <w:color w:val="71847D"/>
          <w:sz w:val="19"/>
        </w:rPr>
        <w:t>案例参考 · 案例一 · 基本案情</w:t>
      </w:r>
    </w:p>
    <w:p>
      <w:pPr>
        <w:keepNext/>
        <w:spacing w:line="288" w:lineRule="auto" w:after="80"/>
      </w:pPr>
      <w:r>
        <w:rPr>
          <w:sz w:val="19"/>
        </w:rPr>
        <w:t>【官方发布案例的核对摘要，非完整裁判文书】建筑公司将工程转包给个人，个人招用工人后工人高处坠落。生效判决确认工人与建筑公司不存在劳动关系，但人社部门已认定工伤及该公司承担工伤保险责任。</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O008-reasoning  工程转包给个人，未建立劳动关系仍承担工伤责任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【官方发布案例的核对摘要，非完整裁判文书】法院认为，在违法转包给个人等法定情形中，工伤保险责任不必以劳动关系为前提；承包单位未缴工伤保险，应支付相应待遇。</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O008-outcome  工程转包给个人，未建立劳动关系仍承担工伤责任</w:t>
      </w:r>
    </w:p>
    <w:p>
      <w:pPr>
        <w:keepNext/>
        <w:spacing w:line="288" w:lineRule="auto" w:after="80"/>
      </w:pPr>
      <w:r>
        <w:rPr>
          <w:color w:val="71847D"/>
          <w:sz w:val="19"/>
        </w:rPr>
        <w:t>案例参考 · 案例一 · 处理结果</w:t>
      </w:r>
    </w:p>
    <w:p>
      <w:pPr>
        <w:keepNext/>
        <w:spacing w:line="288" w:lineRule="auto" w:after="80"/>
      </w:pPr>
      <w:r>
        <w:rPr>
          <w:sz w:val="19"/>
        </w:rPr>
        <w:t>【官方发布案例的核对摘要，非完整裁判文书】法院判令建筑公司支付相应工伤保险待遇。官方未公开具体支付金额。</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zhengcefagui/qtwj/201912/t20191219_1307906.html" TargetMode="External"/><Relationship Id="rId15" Type="http://schemas.openxmlformats.org/officeDocument/2006/relationships/hyperlink" Target="https://www.court.gov.cn/zixun/xiangqing/472681.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