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真实合同案例-推拿师竞业条款</w:t>
      </w:r>
    </w:p>
    <w:p>
      <w:r>
        <w:rPr>
          <w:color w:val="71847D"/>
        </w:rPr>
        <w:t>第 1 版  |  生成时间：2026-10-06 20:51</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竞业限制主体适格性存疑——推拿岗位与实际信息接触程度；竞业限制两年期限与无补偿记录并存；公司主张的50000元违约金证据基础薄弱且金额非既定债务；保密义务与竞业限制义务需区分，接触客户信息不等于受保护的商业秘密。相关判断须核对适用条件，不构成违法认定。</w:t>
      </w:r>
    </w:p>
    <w:p>
      <w:r>
        <w:rPr>
          <w:b/>
        </w:rPr>
        <w:t xml:space="preserve">概览依据：  </w:t>
      </w:r>
      <w:r>
        <w:rPr>
          <w:color w:val="71847D"/>
        </w:rPr>
        <w:t>LCL-023、LCL-024、LAB-J2-013、O021-reasoning、O021-outcome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竞业限制主体适格性存疑：推拿岗位与实际信息接触程度</w:t>
            </w:r>
          </w:p>
        </w:tc>
        <w:tc>
          <w:tcPr>
            <w:tcW w:type="dxa" w:w="5443"/>
          </w:tcPr>
          <w:p>
            <w:pPr>
              <w:spacing w:line="288" w:lineRule="auto" w:after="140" w:before="140"/>
            </w:pPr>
            <w:r>
              <w:rPr>
                <w:sz w:val="19"/>
              </w:rPr>
              <w:t>核对劳动合同与保密协议原件中关于岗位职责、保密范围、竞业限制主体身份的表述。</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竞业限制两年期限与无补偿记录并存</w:t>
            </w:r>
          </w:p>
        </w:tc>
        <w:tc>
          <w:tcPr>
            <w:tcW w:type="dxa" w:w="5443"/>
          </w:tcPr>
          <w:p>
            <w:pPr>
              <w:spacing w:line="288" w:lineRule="auto" w:after="140" w:before="140"/>
            </w:pPr>
            <w:r>
              <w:rPr>
                <w:sz w:val="19"/>
              </w:rPr>
              <w:t>向公司书面要求提供约定的补偿标准与历月支付凭证；无支付记录的，保留催告与沟通记录。</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公司主张的50000元违约金证据基础薄弱且金额非既定债务</w:t>
            </w:r>
          </w:p>
        </w:tc>
        <w:tc>
          <w:tcPr>
            <w:tcW w:type="dxa" w:w="5443"/>
          </w:tcPr>
          <w:p>
            <w:pPr>
              <w:spacing w:line="288" w:lineRule="auto" w:after="140" w:before="140"/>
            </w:pPr>
            <w:r>
              <w:rPr>
                <w:sz w:val="19"/>
              </w:rPr>
              <w:t>不要在公司未出示依据前先行支付或书面承认债务；可书面要求对方列明依据的条款、秘密内容及补偿支付情况。</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保密义务与竞业限制义务需区分：接触客户信息不等于受保护的商业秘密</w:t>
            </w:r>
          </w:p>
        </w:tc>
        <w:tc>
          <w:tcPr>
            <w:tcW w:type="dxa" w:w="5443"/>
          </w:tcPr>
          <w:p>
            <w:pPr>
              <w:spacing w:line="288" w:lineRule="auto" w:after="140" w:before="140"/>
            </w:pPr>
            <w:r>
              <w:rPr>
                <w:sz w:val="19"/>
              </w:rPr>
              <w:t>就报价的公开程度、客户信息是否可获得性（如是否任何公众均可咨询取得）整理时间线和证据。</w:t>
            </w:r>
          </w:p>
        </w:tc>
      </w:tr>
    </w:tbl>
    <w:p>
      <w:pPr>
        <w:pStyle w:val="Heading1"/>
      </w:pPr>
      <w:r>
        <w:t>02  风险详情</w:t>
      </w:r>
    </w:p>
    <w:p>
      <w:pPr>
        <w:pStyle w:val="Heading2"/>
        <w:keepNext/>
      </w:pPr>
      <w:r>
        <w:rPr>
          <w:color w:val="B78224"/>
        </w:rPr>
        <w:t>01  竞业限制主体适格性存疑：推拿岗位与实际信息接触程度  ·  需关注</w:t>
      </w:r>
    </w:p>
    <w:p>
      <w:pPr>
        <w:keepNext/>
        <w:shd w:fill="F3F6F5"/>
      </w:pPr>
      <w:r>
        <w:rPr>
          <w:b/>
        </w:rPr>
        <w:t xml:space="preserve">材料原文  </w:t>
      </w:r>
      <w:r>
        <w:t>公开资料披露的实际信息内容：</w:t>
      </w:r>
      <w:r>
        <w:br/>
      </w:r>
      <w:r>
        <w:t>客户资料是服务过程中接触的客户名称、联系方式等基本信息。</w:t>
      </w:r>
    </w:p>
    <w:p>
      <w:pPr>
        <w:keepNext/>
      </w:pPr>
      <w:r>
        <w:rPr>
          <w:b/>
        </w:rPr>
        <w:t xml:space="preserve">原文位置  </w:t>
      </w:r>
      <w:r>
        <w:rPr>
          <w:color w:val="71847D"/>
        </w:rPr>
        <w:t>测试招聘信息或待签合同 · 第1页</w:t>
      </w:r>
    </w:p>
    <w:p>
      <w:pPr>
        <w:keepNext/>
      </w:pPr>
      <w:r>
        <w:rPr>
          <w:b/>
        </w:rPr>
        <w:t xml:space="preserve">风险说明  </w:t>
      </w:r>
      <w:r>
        <w:t>劳动合同法第24条将竞业限制人员限于高级管理人员、高级技术人员和其他负有保密义务的人员，第23条要求针对负有保密义务的劳动者约定。材料显示员工从事推拿师工作，实际接触的客户资料是服务过程中接触的客户名称、联系方式等基本信息，报价对客户公开，课件多为行业常识。据此，其岗位是否属于'其他负有保密义务的人员'、是否真实知悉商业秘密，是本纠纷的关键判断点，现有摘录不足以作出定性结论。注意：不能仅凭职称或证书推定竞业条款有效，也不能仅凭岗位名称就断定无效。</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b/>
        </w:rPr>
        <w:t xml:space="preserve">分析依据  </w:t>
      </w:r>
      <w:r>
        <w:t>O021-reasoning · 普通巡逻保安离职竞业条款不具约束力 · 案例5 · 认定理由</w:t>
      </w:r>
    </w:p>
    <w:p>
      <w:pPr>
        <w:keepNext/>
      </w:pPr>
      <w:r>
        <w:rPr>
          <w:color w:val="287B65"/>
        </w:rPr>
        <w:t>建议行动</w:t>
      </w:r>
    </w:p>
    <w:p>
      <w:pPr>
        <w:pStyle w:val="ListBullet"/>
        <w:keepNext/>
      </w:pPr>
      <w:r>
        <w:t>核对劳动合同与保密协议原件中关于岗位职责、保密范围、竞业限制主体身份的表述。</w:t>
      </w:r>
    </w:p>
    <w:p>
      <w:pPr>
        <w:pStyle w:val="ListBullet"/>
        <w:keepNext/>
      </w:pPr>
      <w:r>
        <w:t>梳理并留存员工实际能接触到的信息清单及其公开程度（如报价是否对客户公开、课件来源与行业通用性）。</w:t>
      </w:r>
    </w:p>
    <w:p>
      <w:pPr>
        <w:pStyle w:val="ListBullet"/>
        <w:keepNext/>
      </w:pPr>
      <w:r>
        <w:t>如认为条款不生效或超出合理比例，可通过劳动争议仲裁主张，请求确认条款不生效或超过合理比例部分无效（2025年9月1日起施行的司法解释二第十三条）。</w:t>
      </w:r>
    </w:p>
    <w:p>
      <w:pPr>
        <w:pStyle w:val="ListBullet"/>
        <w:keepNext w:val="0"/>
      </w:pPr>
      <w:r>
        <w:t>参考官方披露案例（普通巡逻保安案，仅为个案参考、非规范依据、不能直接套用）：仲裁以岗位难以知悉商业秘密、单位无证据证明接触保密事项为由认定不属于适格主体，驳回违约金请求。</w:t>
      </w:r>
    </w:p>
    <w:p>
      <w:pPr>
        <w:pStyle w:val="Heading2"/>
        <w:keepNext/>
      </w:pPr>
      <w:r>
        <w:rPr>
          <w:color w:val="B78224"/>
        </w:rPr>
        <w:t>02  竞业限制两年期限与无补偿记录并存  ·  需关注</w:t>
      </w:r>
    </w:p>
    <w:p>
      <w:pPr>
        <w:keepNext/>
        <w:shd w:fill="F3F6F5"/>
      </w:pPr>
      <w:r>
        <w:rPr>
          <w:b/>
        </w:rPr>
        <w:t xml:space="preserve">材料原文  </w:t>
      </w:r>
      <w:r>
        <w:t>双方签订员工保密协议，约定离职后两年内不得从事同类产品或同类企业的相关服务，否则一次</w:t>
      </w:r>
      <w:r>
        <w:br/>
      </w:r>
      <w:r>
        <w:t>性支付不低于50000元违约金。</w:t>
      </w:r>
    </w:p>
    <w:p>
      <w:pPr>
        <w:keepNext/>
      </w:pPr>
      <w:r>
        <w:rPr>
          <w:b/>
        </w:rPr>
        <w:t xml:space="preserve">原文位置  </w:t>
      </w:r>
      <w:r>
        <w:rPr>
          <w:color w:val="71847D"/>
        </w:rPr>
        <w:t>测试招聘信息或待签合同 · 第1页</w:t>
      </w:r>
    </w:p>
    <w:p>
      <w:pPr>
        <w:keepNext/>
      </w:pPr>
      <w:r>
        <w:rPr>
          <w:b/>
        </w:rPr>
        <w:t xml:space="preserve">风险说明  </w:t>
      </w:r>
      <w:r>
        <w:t>摘录显示约定离职后两年内不得从事同类产品或同类企业的相关服务，同时材料明确'没有提供完整协议、竞业补偿支付记录'。劳动合同法第23条要求在竞业限制期限内按月给予经济补偿。两年的期限本身未超过第24条两年上限，但补偿是否约定、是否实际支付、限制范围与地域是否与员工实际接触的秘密相适应，均直接影响到该条款能否被支持以及违约金主张的成立基础。</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color w:val="287B65"/>
        </w:rPr>
        <w:t>建议行动</w:t>
      </w:r>
    </w:p>
    <w:p>
      <w:pPr>
        <w:pStyle w:val="ListBullet"/>
        <w:keepNext/>
      </w:pPr>
      <w:r>
        <w:t>向公司书面要求提供约定的补偿标准与历月支付凭证；无支付记录的，保留催告与沟通记录。</w:t>
      </w:r>
    </w:p>
    <w:p>
      <w:pPr>
        <w:pStyle w:val="ListBullet"/>
        <w:keepNext/>
      </w:pPr>
      <w:r>
        <w:t>核对限制范围、地域是否与本人实际接触的秘密范围相适应，明显过度部分可主张超过合理比例无效。</w:t>
      </w:r>
    </w:p>
    <w:p>
      <w:pPr>
        <w:pStyle w:val="ListBullet"/>
        <w:keepNext w:val="0"/>
      </w:pPr>
      <w:r>
        <w:t>如涉及后续仲裁或诉讼，注意在期限内提出主张，并就先履行抗辩等问题咨询专业律师或当地劳动人事争议仲裁机构。</w:t>
      </w:r>
    </w:p>
    <w:p>
      <w:pPr>
        <w:pStyle w:val="Heading2"/>
        <w:keepNext/>
      </w:pPr>
      <w:r>
        <w:rPr>
          <w:color w:val="B78224"/>
        </w:rPr>
        <w:t>03  公司主张的50000元违约金证据基础薄弱且金额非既定债务  ·  需关注</w:t>
      </w:r>
    </w:p>
    <w:p>
      <w:pPr>
        <w:keepNext/>
        <w:shd w:fill="F3F6F5"/>
      </w:pPr>
      <w:r>
        <w:rPr>
          <w:b/>
        </w:rPr>
        <w:t xml:space="preserve">材料原文  </w:t>
      </w:r>
      <w:r>
        <w:t>公司称员工掌握客户资料、产品报价方案、培训课程，要求支付50000元违约金；这是公司</w:t>
      </w:r>
      <w:r>
        <w:br/>
      </w:r>
      <w:r>
        <w:t>主张，不是已确认的债务。</w:t>
      </w:r>
    </w:p>
    <w:p>
      <w:pPr>
        <w:keepNext/>
      </w:pPr>
      <w:r>
        <w:rPr>
          <w:b/>
        </w:rPr>
        <w:t xml:space="preserve">原文位置  </w:t>
      </w:r>
      <w:r>
        <w:rPr>
          <w:color w:val="71847D"/>
        </w:rPr>
        <w:t>测试招聘信息或待签合同 · 第1页</w:t>
      </w:r>
    </w:p>
    <w:p>
      <w:pPr>
        <w:keepNext/>
      </w:pPr>
      <w:r>
        <w:rPr>
          <w:b/>
        </w:rPr>
        <w:t xml:space="preserve">风险说明  </w:t>
      </w:r>
      <w:r>
        <w:t>公司称员工掌握客户资料、产品报价方案、培训课程，要求支付50000元违约金；材料同时指出这是公司主张、不是已确认的债务，且未提供完整协议、补偿支付记录及其他秘密的具体证据。违约金责任以竞业限制条款有效成立和实际违约为前提，并需就不正当竞争或实际损失承担相应举证；仅凭公司单方主张不产生支付义务。此处不对是否构成违约或最终金额作判断，也不设固定数额阈值。</w:t>
      </w:r>
    </w:p>
    <w:p>
      <w:pPr>
        <w:keepNext/>
      </w:pPr>
      <w:r>
        <w:rPr>
          <w:b/>
        </w:rPr>
        <w:t xml:space="preserve">分析依据  </w:t>
      </w:r>
      <w:r>
        <w:t>LCL-023 · 中华人民共和国劳动合同法 · 第二十三条</w:t>
      </w:r>
    </w:p>
    <w:p>
      <w:pPr>
        <w:keepNext/>
      </w:pPr>
      <w:r>
        <w:rPr>
          <w:b/>
        </w:rPr>
        <w:t xml:space="preserve">分析依据  </w:t>
      </w:r>
      <w:r>
        <w:t>LAB-J2-013 · 最高人民法院关于审理劳动争议案件适用法律问题的解释（二）第十三条 · 第十三条</w:t>
      </w:r>
    </w:p>
    <w:p>
      <w:pPr>
        <w:keepNext/>
      </w:pPr>
      <w:r>
        <w:rPr>
          <w:b/>
        </w:rPr>
        <w:t xml:space="preserve">分析依据  </w:t>
      </w:r>
      <w:r>
        <w:t>O021-outcome · 普通巡逻保安离职竞业条款不具约束力 · 案例5 · 处理结果</w:t>
      </w:r>
    </w:p>
    <w:p>
      <w:pPr>
        <w:keepNext/>
      </w:pPr>
      <w:r>
        <w:rPr>
          <w:color w:val="287B65"/>
        </w:rPr>
        <w:t>建议行动</w:t>
      </w:r>
    </w:p>
    <w:p>
      <w:pPr>
        <w:pStyle w:val="ListBullet"/>
        <w:keepNext/>
      </w:pPr>
      <w:r>
        <w:t>不要在公司未出示依据前先行支付或书面承认债务；可书面要求对方列明依据的条款、秘密内容及补偿支付情况。</w:t>
      </w:r>
    </w:p>
    <w:p>
      <w:pPr>
        <w:pStyle w:val="ListBullet"/>
        <w:keepNext/>
      </w:pPr>
      <w:r>
        <w:t>留存对方所有催告函件、聊天记录和主张内容，作为后续举证材料。</w:t>
      </w:r>
    </w:p>
    <w:p>
      <w:pPr>
        <w:pStyle w:val="ListBullet"/>
        <w:keepNext/>
      </w:pPr>
      <w:r>
        <w:t>如进入仲裁/诉讼，可围绕对方举证是否充分、损失与因果关系是否成立提出抗辩，并可请求对过高违约金予以调整（调整结果由审理机构认定，不作保证）。</w:t>
      </w:r>
    </w:p>
    <w:p>
      <w:pPr>
        <w:pStyle w:val="ListBullet"/>
        <w:keepNext w:val="0"/>
      </w:pPr>
      <w:r>
        <w:t>参考官方披露案例（普通巡逻保安案，个案参考、非规范依据）：20万元是协议金额，仲裁驳回了违约金请求，协议金额不等于实际判赔。</w:t>
      </w:r>
    </w:p>
    <w:p>
      <w:pPr>
        <w:pStyle w:val="Heading2"/>
        <w:keepNext/>
      </w:pPr>
      <w:r>
        <w:rPr>
          <w:color w:val="B78224"/>
        </w:rPr>
        <w:t>04  保密义务与竞业限制义务需区分：接触客户信息不等于受保护的商业秘密  ·  需关注</w:t>
      </w:r>
    </w:p>
    <w:p>
      <w:pPr>
        <w:keepNext/>
        <w:shd w:fill="F3F6F5"/>
      </w:pPr>
      <w:r>
        <w:rPr>
          <w:b/>
        </w:rPr>
        <w:t xml:space="preserve">材料原文  </w:t>
      </w:r>
      <w:r>
        <w:t>产品报价对客户公开，潜在客户通过咨询即可获得。</w:t>
      </w:r>
    </w:p>
    <w:p>
      <w:pPr>
        <w:keepNext/>
      </w:pPr>
      <w:r>
        <w:rPr>
          <w:b/>
        </w:rPr>
        <w:t xml:space="preserve">原文位置  </w:t>
      </w:r>
      <w:r>
        <w:rPr>
          <w:color w:val="71847D"/>
        </w:rPr>
        <w:t>测试招聘信息或待签合同 · 第1页</w:t>
      </w:r>
    </w:p>
    <w:p>
      <w:pPr>
        <w:keepNext/>
      </w:pPr>
      <w:r>
        <w:rPr>
          <w:b/>
        </w:rPr>
        <w:t xml:space="preserve">风险说明  </w:t>
      </w:r>
      <w:r>
        <w:t>材料显示产品报价对客户公开、潜在客户咨询即可获得，客户资料为姓名与联系方式等基本信息，课件内容多为行业内中医小儿推拿常识。保密义务的成立需以存在商业秘密或与知识产权相关的保密事项为前提；并非所有工作中接触的信息都构成受保护的商业秘密。此认定直接影响竞业限制条款的效力基础与违约金主张，现有摘录不足以作最终定性。</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color w:val="287B65"/>
        </w:rPr>
        <w:t>建议行动</w:t>
      </w:r>
    </w:p>
    <w:p>
      <w:pPr>
        <w:pStyle w:val="ListBullet"/>
        <w:keepNext/>
      </w:pPr>
      <w:r>
        <w:t>就报价的公开程度、客户信息是否可获得性（如是否任何公众均可咨询取得）整理时间线和证据。</w:t>
      </w:r>
    </w:p>
    <w:p>
      <w:pPr>
        <w:pStyle w:val="ListBullet"/>
        <w:keepNext/>
      </w:pPr>
      <w:r>
        <w:t>收集课件中属行业通用知识的来源证明，说明其非特有秘密。</w:t>
      </w:r>
    </w:p>
    <w:p>
      <w:pPr>
        <w:pStyle w:val="ListBullet"/>
        <w:keepNext w:val="0"/>
      </w:pPr>
      <w:r>
        <w:t>避免在任何书面文件中概括承认'掌握商业秘密'。</w:t>
      </w:r>
    </w:p>
    <w:p>
      <w:pPr>
        <w:pStyle w:val="Heading1"/>
      </w:pPr>
      <w:r>
        <w:t>03  待核实事项与分析局限</w:t>
      </w:r>
    </w:p>
    <w:p>
      <w:pPr>
        <w:pStyle w:val="ListBullet"/>
      </w:pPr>
      <w:r>
        <w:t>材料为按最高人民法院公开资料整理的摘录，非合同原件，且未提供法院评价、裁判结果或案号，无法据此对争议作定性判断。</w:t>
      </w:r>
    </w:p>
    <w:p>
      <w:pPr>
        <w:pStyle w:val="ListBullet"/>
      </w:pPr>
      <w:r>
        <w:t>缺少完整保密协议原文、竞业限制补偿支付记录、公司所称客户资料/报价方案/课件的具体证据，以及劳动争议的受理与处理情况。</w:t>
      </w:r>
    </w:p>
    <w:p>
      <w:pPr>
        <w:pStyle w:val="ListBullet"/>
      </w:pPr>
      <w:r>
        <w:t>材料未说明离职原因、竞业补偿是否约定及金额、公司是否已实际提出仲裁或诉讼，相关判断均待补充。</w:t>
      </w:r>
    </w:p>
    <w:p>
      <w:pPr>
        <w:pStyle w:val="ListBullet"/>
      </w:pPr>
      <w:r>
        <w:t>现行劳动争议司法解释（二）第十三条自2025年9月1日起施行；本争议的离职时间为2021年，具体适用规则需结合处理时点由审理机构认定，本报告未作回溯性套用。</w:t>
      </w:r>
    </w:p>
    <w:p>
      <w:pPr>
        <w:pStyle w:val="ListBullet"/>
      </w:pPr>
      <w:r>
        <w:t>官方披露的普通巡逻保安案为仲裁个例、非规范依据，仅作参考，不能直接套用于本案；且未注明终局性或后续诉讼情况。</w:t>
      </w:r>
    </w:p>
    <w:p>
      <w:pPr>
        <w:pStyle w:val="ListBullet"/>
      </w:pPr>
      <w:r>
        <w:t>本报告基于用户提供的有限事实与检索到的现行规范，不构成法律意见，亦不预测裁判结果或赔偿金额，不保证任何主张成立。</w:t>
      </w:r>
    </w:p>
    <w:p>
      <w:pPr>
        <w:pStyle w:val="ListBullet"/>
      </w:pPr>
      <w:r>
        <w:t>判断条件或材料缺口（不计为风险）：离职后入职社区卫生服务中心中药房与竞业范围是否冲突尚不明确。员工2021年5月离职、同年7月入职某社区卫生服务中心中药房。该单位与'同类产品/同类企业相关服务'是否构成竞争关系、新岗位是否实际使用其掌握的客户资料或课件，材料未提供依据，无法判断。此点既关系是否落入限制范围，也关系限制范围是否与实际秘密相适应。</w:t>
      </w:r>
    </w:p>
    <w:p>
      <w:pPr>
        <w:pStyle w:val="ListBullet"/>
      </w:pPr>
      <w:r>
        <w:t>核查建议：整理原单位与新单位的经营范围、业务类型、服务对象对比材料。</w:t>
      </w:r>
    </w:p>
    <w:p>
      <w:pPr>
        <w:pStyle w:val="ListBullet"/>
      </w:pPr>
      <w:r>
        <w:t>说明新岗位的具体工作内容、是否使用原单位的客户信息或课件，作为排除竞争性的辅助证据。</w:t>
      </w:r>
    </w:p>
    <w:p>
      <w:pPr>
        <w:pStyle w:val="Heading1"/>
      </w:pPr>
      <w:r>
        <w:t>04  依据与来源</w:t>
      </w:r>
    </w:p>
    <w:p>
      <w:r>
        <w:rPr>
          <w:color w:val="71847D"/>
        </w:rPr>
        <w:t>法条、风险提示、指南及案例分别标注；案例结论只用于个案参考。</w:t>
      </w:r>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O021-reasoning  普通巡逻保安离职竞业条款不具约束力</w:t>
      </w:r>
    </w:p>
    <w:p>
      <w:pPr>
        <w:keepNext/>
        <w:spacing w:line="288" w:lineRule="auto" w:after="80"/>
      </w:pPr>
      <w:r>
        <w:rPr>
          <w:color w:val="71847D"/>
          <w:sz w:val="19"/>
        </w:rPr>
        <w:t>案例参考 · 案例5 · 认定理由</w:t>
      </w:r>
    </w:p>
    <w:p>
      <w:pPr>
        <w:keepNext/>
        <w:spacing w:line="288" w:lineRule="auto" w:after="80"/>
      </w:pPr>
      <w:r>
        <w:rPr>
          <w:sz w:val="19"/>
        </w:rPr>
        <w:t>【官方发布案例的核对摘要，非完整裁判文书】仲裁查明岗位难以知悉商业秘密，单位亦无证据证明接触保密事项，不属于竞业限制适格主体。</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5">
        <w:r>
          <w:rPr>
            <w:color w:val="287B65"/>
          </w:rPr>
          <w:t>https://www.court.gov.cn/zixun/xiangqing/462311.html</w:t>
        </w:r>
      </w:hyperlink>
    </w:p>
    <w:p>
      <w:pPr>
        <w:pStyle w:val="Heading2"/>
        <w:keepNext/>
      </w:pPr>
      <w:r>
        <w:t>O021-outcome  普通巡逻保安离职竞业条款不具约束力</w:t>
      </w:r>
    </w:p>
    <w:p>
      <w:pPr>
        <w:keepNext/>
        <w:spacing w:line="288" w:lineRule="auto" w:after="80"/>
      </w:pPr>
      <w:r>
        <w:rPr>
          <w:color w:val="71847D"/>
          <w:sz w:val="19"/>
        </w:rPr>
        <w:t>案例参考 · 案例5 · 处理结果</w:t>
      </w:r>
    </w:p>
    <w:p>
      <w:pPr>
        <w:keepNext/>
        <w:spacing w:line="288" w:lineRule="auto" w:after="80"/>
      </w:pPr>
      <w:r>
        <w:rPr>
          <w:sz w:val="19"/>
        </w:rPr>
        <w:t>【官方发布案例的核对摘要，非完整裁判文书】仲裁驳回保安公司的违约金请求。20万元是协议金额，不是实际判赔。</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5">
        <w:r>
          <w:rPr>
            <w:color w:val="287B65"/>
          </w:rPr>
          <w:t>https://www.court.gov.cn/zixun/xiangqing/462311.html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court.gov.cn/zixun/xiangqing/4623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