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求职风险自查报告</w:t>
      </w:r>
    </w:p>
    <w:p>
      <w:r>
        <w:rPr>
          <w:color w:val="287B65"/>
        </w:rPr>
        <w:t>真实招聘案例-登记参观未用工</w:t>
      </w:r>
    </w:p>
    <w:p>
      <w:r>
        <w:rPr>
          <w:color w:val="71847D"/>
        </w:rPr>
        <w:t>第 1 版  |  生成时间：2026-10-06 20:50</w:t>
      </w:r>
    </w:p>
    <w:p>
      <w:r>
        <w:rPr>
          <w:color w:val="71847D"/>
        </w:rPr>
        <w:t>本报告依据已提供材料进行风险提示；风险等级不是违法认定或风险概率。</w:t>
      </w:r>
    </w:p>
    <w:p>
      <w:pPr>
        <w:pStyle w:val="Heading1"/>
      </w:pPr>
      <w:r>
        <w:t>01  结论与风险概览</w:t>
      </w:r>
    </w:p>
    <w:p>
      <w:pPr>
        <w:shd w:fill="EDF6F1"/>
      </w:pPr>
      <w:r>
        <w:t>根据你提供的材料，只能作有限分析：材料显示2020年10月5日某求职者到橡胶公司填求职登记表、食堂就餐、下午在车间了解工作环境时昏倒送医，并明确“未安排其从事有报酬的工作”、登记表不具备劳动合同必备条款、材料不含法院判断或处理结果。按《劳动合同法》第七条，劳动关系自“用工之日”起建立；现有事实只能说明处于求职登记和参观了解阶段，尚不足以认定已“用工”、也不足以认定劳动关系成立，因此不能仅凭这些材料主张工伤待遇。昏倒是否属于工伤、公司是否应承担何种责任，还需另行核实事实并由有权机关认定；本报告不预设公司违法或双方已建立劳动关系。</w:t>
      </w:r>
    </w:p>
    <w:p>
      <w:r>
        <w:rPr>
          <w:b/>
        </w:rPr>
        <w:t xml:space="preserve">概览依据：  </w:t>
      </w:r>
      <w:r>
        <w:rPr>
          <w:color w:val="71847D"/>
        </w:rPr>
        <w:t>LCL-007、K003、LCL-017、SUP-R024、LAB-J1-001、O008-facts、O008-reasoning、O008-outcome</w:t>
      </w:r>
    </w:p>
    <w:p>
      <w:r>
        <w:rPr>
          <w:color w:val="71847D"/>
        </w:rPr>
        <w:t>红灯=高风险；黄灯=需关注；灰色=待核实。未检出风险不等于绿灯安全。</w:t>
      </w:r>
    </w:p>
    <w:p>
      <w:r>
        <w:drawing>
          <wp:inline xmlns:a="http://schemas.openxmlformats.org/drawingml/2006/main" xmlns:pic="http://schemas.openxmlformats.org/drawingml/2006/picture">
            <wp:extent cx="6120000" cy="1224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120000" cy="1224000"/>
                    </a:xfrm>
                    <a:prstGeom prst="rect"/>
                  </pic:spPr>
                </pic:pic>
              </a:graphicData>
            </a:graphic>
          </wp:inline>
        </w:drawing>
      </w:r>
    </w:p>
    <w:p>
      <w:r>
        <w:rPr>
          <w:color w:val="71847D"/>
        </w:rPr>
        <w:t>图中数量来自本报告已标注风险点；未发现问题不代表已证明安全。</w:t>
      </w:r>
    </w:p>
    <w:p>
      <w:pPr>
        <w:pStyle w:val="Heading2"/>
      </w:pPr>
      <w:r>
        <w:t>问题速览</w:t>
      </w:r>
    </w:p>
    <w:tbl>
      <w:tblPr>
        <w:tblW w:type="auto" w:w="0"/>
        <w:tblLayout w:type="fixed"/>
        <w:tblLook w:firstColumn="1" w:firstRow="1" w:lastColumn="0" w:lastRow="0" w:noHBand="0" w:noVBand="1" w:val="04A0"/>
      </w:tblPr>
      <w:tblGrid>
        <w:gridCol w:w="1247"/>
        <w:gridCol w:w="2948"/>
        <w:gridCol w:w="5443"/>
      </w:tblGrid>
      <w:tr>
        <w:trPr>
          <w:tblHeader/>
        </w:trPr>
        <w:tc>
          <w:tcPr>
            <w:tcW w:type="dxa" w:w="1247"/>
            <w:shd w:fill="EDF6F1"/>
          </w:tcPr>
          <w:p>
            <w:pPr>
              <w:spacing w:line="288" w:lineRule="auto" w:after="140" w:before="140"/>
            </w:pPr>
            <w:r>
              <w:rPr>
                <w:sz w:val="19"/>
              </w:rPr>
              <w:t>风险等级</w:t>
            </w:r>
          </w:p>
        </w:tc>
        <w:tc>
          <w:tcPr>
            <w:tcW w:type="dxa" w:w="2948"/>
            <w:shd w:fill="EDF6F1"/>
          </w:tcPr>
          <w:p>
            <w:pPr>
              <w:spacing w:line="288" w:lineRule="auto" w:after="140" w:before="140"/>
            </w:pPr>
            <w:r>
              <w:rPr>
                <w:sz w:val="19"/>
              </w:rPr>
              <w:t>问题</w:t>
            </w:r>
          </w:p>
        </w:tc>
        <w:tc>
          <w:tcPr>
            <w:tcW w:type="dxa" w:w="5443"/>
            <w:shd w:fill="EDF6F1"/>
          </w:tcPr>
          <w:p>
            <w:pPr>
              <w:spacing w:line="288" w:lineRule="auto" w:after="140" w:before="140"/>
            </w:pPr>
            <w:r>
              <w:rPr>
                <w:sz w:val="19"/>
              </w:rPr>
              <w:t>建议先做</w:t>
            </w:r>
          </w:p>
        </w:tc>
      </w:tr>
      <w:tr>
        <w:trPr>
          <w:cantSplit/>
        </w:trPr>
        <w:tc>
          <w:tcPr>
            <w:tcW w:type="dxa" w:w="1247"/>
          </w:tcPr>
          <w:p>
            <w:pPr>
              <w:spacing w:line="288" w:lineRule="auto" w:after="140" w:before="140"/>
            </w:pPr>
            <w:r>
              <w:rPr>
                <w:color w:val="69798B"/>
                <w:sz w:val="19"/>
              </w:rPr>
              <w:t>待核实</w:t>
            </w:r>
          </w:p>
        </w:tc>
        <w:tc>
          <w:tcPr>
            <w:tcW w:type="dxa" w:w="2948"/>
          </w:tcPr>
          <w:p>
            <w:pPr>
              <w:spacing w:line="288" w:lineRule="auto" w:after="140" w:before="140"/>
            </w:pPr>
            <w:r>
              <w:rPr>
                <w:sz w:val="19"/>
              </w:rPr>
              <w:t>仅凭现有事实难以认定已建立劳动关系（进而影响工伤待遇主张）</w:t>
            </w:r>
          </w:p>
        </w:tc>
        <w:tc>
          <w:tcPr>
            <w:tcW w:type="dxa" w:w="5443"/>
          </w:tcPr>
          <w:p>
            <w:pPr>
              <w:spacing w:line="288" w:lineRule="auto" w:after="140" w:before="140"/>
            </w:pPr>
            <w:r>
              <w:rPr>
                <w:sz w:val="19"/>
              </w:rPr>
              <w:t>向用人单位人事部门索取或申请调取完整求职登记表、当日报到或参观安排记录、门禁与车间出入记录，以判断当天是否已进入被管理的用工状态。</w:t>
            </w:r>
          </w:p>
        </w:tc>
      </w:tr>
      <w:tr>
        <w:trPr>
          <w:cantSplit/>
        </w:trPr>
        <w:tc>
          <w:tcPr>
            <w:tcW w:type="dxa" w:w="1247"/>
          </w:tcPr>
          <w:p>
            <w:pPr>
              <w:spacing w:line="288" w:lineRule="auto" w:after="140" w:before="140"/>
            </w:pPr>
            <w:r>
              <w:rPr>
                <w:color w:val="69798B"/>
                <w:sz w:val="19"/>
              </w:rPr>
              <w:t>待核实</w:t>
            </w:r>
          </w:p>
        </w:tc>
        <w:tc>
          <w:tcPr>
            <w:tcW w:type="dxa" w:w="2948"/>
          </w:tcPr>
          <w:p>
            <w:pPr>
              <w:spacing w:line="288" w:lineRule="auto" w:after="140" w:before="140"/>
            </w:pPr>
            <w:r>
              <w:rPr>
                <w:sz w:val="19"/>
              </w:rPr>
              <w:t>工伤（或工伤待遇）主张缺乏事实与程序基础，不宜直接按工伤索赔</w:t>
            </w:r>
          </w:p>
        </w:tc>
        <w:tc>
          <w:tcPr>
            <w:tcW w:type="dxa" w:w="5443"/>
          </w:tcPr>
          <w:p>
            <w:pPr>
              <w:spacing w:line="288" w:lineRule="auto" w:after="140" w:before="140"/>
            </w:pPr>
            <w:r>
              <w:rPr>
                <w:sz w:val="19"/>
              </w:rPr>
              <w:t>向就诊医院复印并保存诊断证明、病历及入出院记录，明确昏倒原因，判断是否与工作环境、工作原因相关。</w:t>
            </w:r>
          </w:p>
        </w:tc>
      </w:tr>
    </w:tbl>
    <w:p>
      <w:r>
        <w:rPr>
          <w:b/>
        </w:rPr>
        <w:t xml:space="preserve">本版修改  </w:t>
      </w:r>
      <w:r>
        <w:t>原报告已基本符合要求，本次仅将findings中的quote改为以material_quotes的quote_id回填，并保留同一事实触发的一项劳动关系认定风险与一项工伤待遇主张风险；未新增未经核验的事实或依据。</w:t>
      </w:r>
    </w:p>
    <w:p>
      <w:pPr>
        <w:pStyle w:val="Heading1"/>
      </w:pPr>
      <w:r>
        <w:t>02  风险详情</w:t>
      </w:r>
    </w:p>
    <w:p>
      <w:pPr>
        <w:pStyle w:val="Heading2"/>
        <w:keepNext/>
      </w:pPr>
      <w:r>
        <w:rPr>
          <w:color w:val="69798B"/>
        </w:rPr>
        <w:t>01  仅凭现有事实难以认定已建立劳动关系（进而影响工伤待遇主张）  ·  待核实</w:t>
      </w:r>
    </w:p>
    <w:p>
      <w:pPr>
        <w:keepNext/>
        <w:shd w:fill="F3F6F5"/>
      </w:pPr>
      <w:r>
        <w:rPr>
          <w:b/>
        </w:rPr>
        <w:t xml:space="preserve">材料原文  </w:t>
      </w:r>
      <w:r>
        <w:t>当天只是登记求职、了解环境，未安排其从事有报酬的工作。</w:t>
      </w:r>
    </w:p>
    <w:p>
      <w:pPr>
        <w:keepNext/>
      </w:pPr>
      <w:r>
        <w:rPr>
          <w:b/>
        </w:rPr>
        <w:t xml:space="preserve">原文位置  </w:t>
      </w:r>
      <w:r>
        <w:rPr>
          <w:color w:val="71847D"/>
        </w:rPr>
        <w:t>测试招聘信息或待签合同 · 第1页</w:t>
      </w:r>
    </w:p>
    <w:p>
      <w:pPr>
        <w:keepNext/>
      </w:pPr>
      <w:r>
        <w:rPr>
          <w:b/>
        </w:rPr>
        <w:t xml:space="preserve">风险说明  </w:t>
      </w:r>
      <w:r>
        <w:t>《劳动合同法》第七条明确用人单位自“用工之日”起即与劳动者建立劳动关系，第十条进一步说明用工前订立劳动合同的，劳动关系自用工之日起建立。因此判断关键在于是否已实际“用工”（即接受用人单位劳动管理、提供劳动）。材料显示当天只是登记求职、了解环境，未安排从事有报酬的工作，登记表也不具备劳动合同期限、工作内容、劳动报酬等必备条款——这些事实指向尚未进入用工状态，但登记表交存人事部门、在公司食堂就餐、进入车间参观等细节是否足以体现接受管理或已开始提供劳动，属于需要进一步举证和认定的问题。因此现有材料不足以认定劳动关系已建立，也无法据此直接得出可以主张工伤待遇的结论。</w:t>
      </w:r>
    </w:p>
    <w:p>
      <w:pPr>
        <w:keepNext/>
      </w:pPr>
      <w:r>
        <w:rPr>
          <w:b/>
        </w:rPr>
        <w:t xml:space="preserve">分析依据  </w:t>
      </w:r>
      <w:r>
        <w:t>LCL-007 · 中华人民共和国劳动合同法 · 第七条</w:t>
      </w:r>
    </w:p>
    <w:p>
      <w:pPr>
        <w:keepNext/>
      </w:pPr>
      <w:r>
        <w:rPr>
          <w:b/>
        </w:rPr>
        <w:t xml:space="preserve">分析依据  </w:t>
      </w:r>
      <w:r>
        <w:t>K003 · 中华人民共和国劳动合同法 · 第十条</w:t>
      </w:r>
    </w:p>
    <w:p>
      <w:pPr>
        <w:keepNext/>
      </w:pPr>
      <w:r>
        <w:rPr>
          <w:b/>
        </w:rPr>
        <w:t xml:space="preserve">分析依据  </w:t>
      </w:r>
      <w:r>
        <w:t>LCL-017 · 中华人民共和国劳动合同法 · 第十七条</w:t>
      </w:r>
    </w:p>
    <w:p>
      <w:pPr>
        <w:keepNext/>
      </w:pPr>
      <w:r>
        <w:rPr>
          <w:b/>
        </w:rPr>
        <w:t xml:space="preserve">分析依据  </w:t>
      </w:r>
      <w:r>
        <w:t>SUP-R024 · 无薪试岗 · 风险判定辅助</w:t>
      </w:r>
    </w:p>
    <w:p>
      <w:pPr>
        <w:keepNext/>
      </w:pPr>
      <w:r>
        <w:rPr>
          <w:color w:val="287B65"/>
        </w:rPr>
        <w:t>建议行动</w:t>
      </w:r>
    </w:p>
    <w:p>
      <w:pPr>
        <w:pStyle w:val="ListBullet"/>
        <w:keepNext/>
      </w:pPr>
      <w:r>
        <w:t>向用人单位人事部门索取或申请调取完整求职登记表、当日报到或参观安排记录、门禁与车间出入记录，以判断当天是否已进入被管理的用工状态。</w:t>
      </w:r>
    </w:p>
    <w:p>
      <w:pPr>
        <w:pStyle w:val="ListBullet"/>
        <w:keepNext/>
      </w:pPr>
      <w:r>
        <w:t>核实并保存公司是否支付过工资或报酬、是否存在考勤记录或工作安排通知；这些是判断是否已“用工”的核心证据。</w:t>
      </w:r>
    </w:p>
    <w:p>
      <w:pPr>
        <w:pStyle w:val="ListBullet"/>
        <w:keepNext w:val="0"/>
      </w:pPr>
      <w:r>
        <w:t>在向劳动人事争议仲裁机构或人民法院主张确认劳动关系前，先理清自己主张的具体事实和时间点，避免以“已入职”直接推定。</w:t>
      </w:r>
    </w:p>
    <w:p>
      <w:pPr>
        <w:pStyle w:val="Heading2"/>
        <w:keepNext/>
      </w:pPr>
      <w:r>
        <w:rPr>
          <w:color w:val="69798B"/>
        </w:rPr>
        <w:t>02  工伤（或工伤待遇）主张缺乏事实与程序基础，不宜直接按工伤索赔  ·  待核实</w:t>
      </w:r>
    </w:p>
    <w:p>
      <w:pPr>
        <w:keepNext/>
        <w:shd w:fill="F3F6F5"/>
      </w:pPr>
      <w:r>
        <w:rPr>
          <w:b/>
        </w:rPr>
        <w:t xml:space="preserve">材料原文  </w:t>
      </w:r>
      <w:r>
        <w:t>中午在公司食堂就餐，下午在车间了解工作环境时昏倒，被送往医院治疗。</w:t>
      </w:r>
    </w:p>
    <w:p>
      <w:pPr>
        <w:keepNext/>
      </w:pPr>
      <w:r>
        <w:rPr>
          <w:b/>
        </w:rPr>
        <w:t xml:space="preserve">原文位置  </w:t>
      </w:r>
      <w:r>
        <w:rPr>
          <w:color w:val="71847D"/>
        </w:rPr>
        <w:t>测试招聘信息或待签合同 · 第1页</w:t>
      </w:r>
    </w:p>
    <w:p>
      <w:pPr>
        <w:keepNext/>
      </w:pPr>
      <w:r>
        <w:rPr>
          <w:b/>
        </w:rPr>
        <w:t xml:space="preserve">风险说明  </w:t>
      </w:r>
      <w:r>
        <w:t>工伤保险待遇通常以劳动关系（或法律、司法解释明确规定的特殊情形）为适用基础，并需经社会保险行政部门作出工伤认定。《最高人民法院关于审理劳动争议案件适用法律问题的解释（一）》第一条第（七）项将“因工伤、职业病请求用人单位依法给予工伤保险待遇”列为劳动争议受理范围，但这以存在相应工伤认定和劳动（或法定）关系为前提。材料仅记载在车间了解环境时昏倒送医，未提供完整登记表、现场录像、医院材料或其他招聘约定，昏倒原因、是否与工作原因相关、是否已被认定为工伤均不明，故不能据此认定公司应支付工伤待遇。需说明：确有法定特殊情形（如最高法发布的工程违法转包给个人案例中，工伤保险责任不以劳动关系为前提），但本案是求职参观场景，与该类转包用工情形不同，不能类推适用。</w:t>
      </w:r>
    </w:p>
    <w:p>
      <w:pPr>
        <w:keepNext/>
      </w:pPr>
      <w:r>
        <w:rPr>
          <w:b/>
        </w:rPr>
        <w:t xml:space="preserve">分析依据  </w:t>
      </w:r>
      <w:r>
        <w:t>LAB-J1-001 · 最高人民法院关于审理劳动争议案件适用法律问题的解释（一）第一条 · 第一条</w:t>
      </w:r>
    </w:p>
    <w:p>
      <w:pPr>
        <w:keepNext/>
      </w:pPr>
      <w:r>
        <w:rPr>
          <w:b/>
        </w:rPr>
        <w:t xml:space="preserve">分析依据  </w:t>
      </w:r>
      <w:r>
        <w:t>O008-facts · 工程转包给个人，未建立劳动关系仍承担工伤责任 · 案例一 · 基本案情</w:t>
      </w:r>
    </w:p>
    <w:p>
      <w:pPr>
        <w:keepNext/>
      </w:pPr>
      <w:r>
        <w:rPr>
          <w:b/>
        </w:rPr>
        <w:t xml:space="preserve">分析依据  </w:t>
      </w:r>
      <w:r>
        <w:t>O008-reasoning · 工程转包给个人，未建立劳动关系仍承担工伤责任 · 案例一 · 认定理由</w:t>
      </w:r>
    </w:p>
    <w:p>
      <w:pPr>
        <w:keepNext/>
      </w:pPr>
      <w:r>
        <w:rPr>
          <w:b/>
        </w:rPr>
        <w:t xml:space="preserve">分析依据  </w:t>
      </w:r>
      <w:r>
        <w:t>O008-outcome · 工程转包给个人，未建立劳动关系仍承担工伤责任 · 案例一 · 处理结果</w:t>
      </w:r>
    </w:p>
    <w:p>
      <w:pPr>
        <w:keepNext/>
      </w:pPr>
      <w:r>
        <w:rPr>
          <w:color w:val="287B65"/>
        </w:rPr>
        <w:t>建议行动</w:t>
      </w:r>
    </w:p>
    <w:p>
      <w:pPr>
        <w:pStyle w:val="ListBullet"/>
        <w:keepNext/>
      </w:pPr>
      <w:r>
        <w:t>向就诊医院复印并保存诊断证明、病历及入出院记录，明确昏倒原因，判断是否与工作环境、工作原因相关。</w:t>
      </w:r>
    </w:p>
    <w:p>
      <w:pPr>
        <w:pStyle w:val="ListBullet"/>
        <w:keepNext/>
      </w:pPr>
      <w:r>
        <w:t>如认为属于工伤，可由用人单位或本人及近亲属在法定期限内向统筹地区社会保险行政部门提出工伤认定申请，并提交相应劳动关系或责任主体材料。</w:t>
      </w:r>
    </w:p>
    <w:p>
      <w:pPr>
        <w:pStyle w:val="ListBullet"/>
        <w:keepNext/>
      </w:pPr>
      <w:r>
        <w:t>在工伤认定结论作出前，不要按“工伤赔偿”标准与公司结算；对已发生的医疗费等损失，先完整保留票据。</w:t>
      </w:r>
    </w:p>
    <w:p>
      <w:pPr>
        <w:pStyle w:val="ListBullet"/>
        <w:keepNext w:val="0"/>
      </w:pPr>
      <w:r>
        <w:t>若因缺少劳动关系材料导致工伤认定受阻，可先通过劳动仲裁确认劳动关系，或咨询当地人社部门了解受理口径。</w:t>
      </w:r>
    </w:p>
    <w:p>
      <w:pPr>
        <w:pStyle w:val="Heading1"/>
      </w:pPr>
      <w:r>
        <w:t>03  待核实事项与分析局限</w:t>
      </w:r>
    </w:p>
    <w:p>
      <w:pPr>
        <w:pStyle w:val="ListBullet"/>
      </w:pPr>
      <w:r>
        <w:t>材料为“求职登记及参观事实摘录，非招聘启事原件”，本身不含法院判断、处理结果或案号，也未提供完整登记表、现场录像、医院材料或任何招聘约定，属于事实片段而非完整证据链。</w:t>
      </w:r>
    </w:p>
    <w:p>
      <w:pPr>
        <w:pStyle w:val="ListBullet"/>
      </w:pPr>
      <w:r>
        <w:t>无法确定昏倒的医学原因、是否与工作环境或工作原因相关，这直接影响能否构成工伤。</w:t>
      </w:r>
    </w:p>
    <w:p>
      <w:pPr>
        <w:pStyle w:val="ListBullet"/>
      </w:pPr>
      <w:r>
        <w:t>无法确定当天的具体安排细节（谁引导参观、是否被要求遵守公司管理规范、是否有明确的参观或测试任务），这些细节是判断是否已“用工”的关键。</w:t>
      </w:r>
    </w:p>
    <w:p>
      <w:pPr>
        <w:pStyle w:val="ListBullet"/>
      </w:pPr>
      <w:r>
        <w:t>材料未说明用人单位是否已为求职者办理任何用工登记、是否支付任何报酬或费用、是否就入职条件有过口头或书面约定。</w:t>
      </w:r>
    </w:p>
    <w:p>
      <w:pPr>
        <w:pStyle w:val="ListBullet"/>
      </w:pPr>
      <w:r>
        <w:t>本报告仅依据上述有限材料作出的初步分析，不构成法律意见，也不是法院或仲裁机构对劳动关系、工伤责任的认定；最终结论以有权机关的认定为准。</w:t>
      </w:r>
    </w:p>
    <w:p>
      <w:pPr>
        <w:pStyle w:val="Heading1"/>
      </w:pPr>
      <w:r>
        <w:t>04  依据与来源</w:t>
      </w:r>
    </w:p>
    <w:p>
      <w:r>
        <w:rPr>
          <w:color w:val="71847D"/>
        </w:rPr>
        <w:t>法条、风险提示、指南及案例分别标注；案例结论只用于个案参考。</w:t>
      </w:r>
    </w:p>
    <w:p>
      <w:pPr>
        <w:pStyle w:val="Heading2"/>
        <w:keepNext/>
      </w:pPr>
      <w:r>
        <w:t>LCL-007  中华人民共和国劳动合同法</w:t>
      </w:r>
    </w:p>
    <w:p>
      <w:pPr>
        <w:keepNext/>
        <w:spacing w:line="288" w:lineRule="auto" w:after="80"/>
      </w:pPr>
      <w:r>
        <w:rPr>
          <w:color w:val="71847D"/>
          <w:sz w:val="19"/>
        </w:rPr>
        <w:t>法律条文 · 第七条</w:t>
      </w:r>
    </w:p>
    <w:p>
      <w:pPr>
        <w:keepNext/>
        <w:spacing w:line="288" w:lineRule="auto" w:after="80"/>
      </w:pPr>
      <w:r>
        <w:rPr>
          <w:sz w:val="19"/>
        </w:rPr>
        <w:t>第七条　用人单位自用工之日起即与劳动者建立劳动关系。用人单位应当建立职工名册备查。</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K003  中华人民共和国劳动合同法</w:t>
      </w:r>
    </w:p>
    <w:p>
      <w:pPr>
        <w:keepNext/>
        <w:spacing w:line="288" w:lineRule="auto" w:after="80"/>
      </w:pPr>
      <w:r>
        <w:rPr>
          <w:color w:val="71847D"/>
          <w:sz w:val="19"/>
        </w:rPr>
        <w:t>法律条文 · 第十条</w:t>
      </w:r>
    </w:p>
    <w:p>
      <w:pPr>
        <w:keepNext/>
        <w:spacing w:line="288" w:lineRule="auto" w:after="80"/>
      </w:pPr>
      <w:r>
        <w:rPr>
          <w:sz w:val="19"/>
        </w:rPr>
        <w:t>第十条　建立劳动关系，应当订立书面劳动合同。</w:t>
      </w:r>
      <w:r>
        <w:rPr>
          <w:sz w:val="19"/>
        </w:rPr>
        <w:br/>
      </w:r>
      <w:r>
        <w:rPr>
          <w:sz w:val="19"/>
        </w:rPr>
        <w:t>已建立劳动关系，未同时订立书面劳动合同的，应当自用工之日起一个月内订立书面劳动合同。</w:t>
      </w:r>
      <w:r>
        <w:rPr>
          <w:sz w:val="19"/>
        </w:rPr>
        <w:br/>
      </w:r>
      <w:r>
        <w:rPr>
          <w:sz w:val="19"/>
        </w:rPr>
        <w:t>用人单位与劳动者在用工前订立劳动合同的，劳动关系自用工之日起建立。</w:t>
      </w:r>
    </w:p>
    <w:p>
      <w:pPr>
        <w:keepNext/>
        <w:spacing w:line="288" w:lineRule="auto" w:after="80"/>
      </w:pPr>
      <w:r>
        <w:rPr>
          <w:b/>
          <w:sz w:val="19"/>
        </w:rPr>
        <w:t xml:space="preserve">适用边界  </w:t>
      </w:r>
      <w:r>
        <w:rPr>
          <w:sz w:val="19"/>
        </w:rPr>
        <w:t>培训协议不自动等同劳动合同；先核实实际用工及主体。</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LCL-017  中华人民共和国劳动合同法</w:t>
      </w:r>
    </w:p>
    <w:p>
      <w:pPr>
        <w:keepNext/>
        <w:spacing w:line="288" w:lineRule="auto" w:after="80"/>
      </w:pPr>
      <w:r>
        <w:rPr>
          <w:color w:val="71847D"/>
          <w:sz w:val="19"/>
        </w:rPr>
        <w:t>法律条文 · 第十七条</w:t>
      </w:r>
    </w:p>
    <w:p>
      <w:pPr>
        <w:keepNext/>
        <w:spacing w:line="288" w:lineRule="auto" w:after="80"/>
      </w:pPr>
      <w:r>
        <w:rPr>
          <w:sz w:val="19"/>
        </w:rPr>
        <w:t>第十七条　劳动合同应当具备以下条款：</w:t>
      </w:r>
      <w:r>
        <w:rPr>
          <w:sz w:val="19"/>
        </w:rPr>
        <w:br/>
      </w:r>
      <w:r>
        <w:rPr>
          <w:sz w:val="19"/>
        </w:rPr>
        <w:t>（一）用人单位的名称、住所和法定代表人或者主要负责人；</w:t>
      </w:r>
      <w:r>
        <w:rPr>
          <w:sz w:val="19"/>
        </w:rPr>
        <w:br/>
      </w:r>
      <w:r>
        <w:rPr>
          <w:sz w:val="19"/>
        </w:rPr>
        <w:t>（二）劳动者的姓名、住址和居民身份证或者其他有效身份证件号码；</w:t>
      </w:r>
      <w:r>
        <w:rPr>
          <w:sz w:val="19"/>
        </w:rPr>
        <w:br/>
      </w:r>
      <w:r>
        <w:rPr>
          <w:sz w:val="19"/>
        </w:rPr>
        <w:t>（三）劳动合同期限；</w:t>
      </w:r>
      <w:r>
        <w:rPr>
          <w:sz w:val="19"/>
        </w:rPr>
        <w:br/>
      </w:r>
      <w:r>
        <w:rPr>
          <w:sz w:val="19"/>
        </w:rPr>
        <w:t>（四）工作内容和工作地点；</w:t>
      </w:r>
      <w:r>
        <w:rPr>
          <w:sz w:val="19"/>
        </w:rPr>
        <w:br/>
      </w:r>
      <w:r>
        <w:rPr>
          <w:sz w:val="19"/>
        </w:rPr>
        <w:t>（五）工作时间和休息休假；</w:t>
      </w:r>
      <w:r>
        <w:rPr>
          <w:sz w:val="19"/>
        </w:rPr>
        <w:br/>
      </w:r>
      <w:r>
        <w:rPr>
          <w:sz w:val="19"/>
        </w:rPr>
        <w:t>（六）劳动报酬；</w:t>
      </w:r>
      <w:r>
        <w:rPr>
          <w:sz w:val="19"/>
        </w:rPr>
        <w:br/>
      </w:r>
      <w:r>
        <w:rPr>
          <w:sz w:val="19"/>
        </w:rPr>
        <w:t>（七）社会保险；</w:t>
      </w:r>
      <w:r>
        <w:rPr>
          <w:sz w:val="19"/>
        </w:rPr>
        <w:br/>
      </w:r>
      <w:r>
        <w:rPr>
          <w:sz w:val="19"/>
        </w:rPr>
        <w:t>（八）劳动保护、劳动条件和职业危害防护；</w:t>
      </w:r>
      <w:r>
        <w:rPr>
          <w:sz w:val="19"/>
        </w:rPr>
        <w:br/>
      </w:r>
      <w:r>
        <w:rPr>
          <w:sz w:val="19"/>
        </w:rPr>
        <w:t>（九）法律、法规规定应当纳入劳动合同的其他事项。</w:t>
      </w:r>
      <w:r>
        <w:rPr>
          <w:sz w:val="19"/>
        </w:rPr>
        <w:br/>
      </w:r>
      <w:r>
        <w:rPr>
          <w:sz w:val="19"/>
        </w:rPr>
        <w:t>劳动合同除前款规定的必备条款外，用人单位与劳动者可以约定试用期、培训、保守秘密、补充保险和福利待遇等其他事项。</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LAB-J1-001  最高人民法院关于审理劳动争议案件适用法律问题的解释（一）第一条</w:t>
      </w:r>
    </w:p>
    <w:p>
      <w:pPr>
        <w:keepNext/>
        <w:spacing w:line="288" w:lineRule="auto" w:after="80"/>
      </w:pPr>
      <w:r>
        <w:rPr>
          <w:color w:val="71847D"/>
          <w:sz w:val="19"/>
        </w:rPr>
        <w:t>法律条文 · 第一条</w:t>
      </w:r>
    </w:p>
    <w:p>
      <w:pPr>
        <w:keepNext/>
        <w:spacing w:line="288" w:lineRule="auto" w:after="80"/>
      </w:pPr>
      <w:r>
        <w:rPr>
          <w:sz w:val="19"/>
        </w:rPr>
        <w:t>第一条　劳动者与用人单位之间发生的下列纠纷，属于劳动争议，当事人不服劳动争议仲裁机构作出的裁决，依法提起诉讼的，人民法院应予受理：</w:t>
      </w:r>
      <w:r>
        <w:rPr>
          <w:sz w:val="19"/>
        </w:rPr>
        <w:br/>
      </w:r>
      <w:r>
        <w:rPr>
          <w:sz w:val="19"/>
        </w:rPr>
        <w:t>（一）劳动者与用人单位在履行劳动合同过程中发生的纠纷；</w:t>
      </w:r>
      <w:r>
        <w:rPr>
          <w:sz w:val="19"/>
        </w:rPr>
        <w:br/>
      </w:r>
      <w:r>
        <w:rPr>
          <w:sz w:val="19"/>
        </w:rPr>
        <w:t>（二）劳动者与用人单位之间没有订立书面劳动合同，但已形成劳动关系后发生的纠纷；</w:t>
      </w:r>
      <w:r>
        <w:rPr>
          <w:sz w:val="19"/>
        </w:rPr>
        <w:br/>
      </w:r>
      <w:r>
        <w:rPr>
          <w:sz w:val="19"/>
        </w:rPr>
        <w:t>（三）劳动者与用人单位因劳动关系是否已经解除或者终止，以及应否支付解除或者终止劳动关系经济补偿金发生的纠纷；</w:t>
      </w:r>
      <w:r>
        <w:rPr>
          <w:sz w:val="19"/>
        </w:rPr>
        <w:br/>
      </w:r>
      <w:r>
        <w:rPr>
          <w:sz w:val="19"/>
        </w:rPr>
        <w:t>（四）劳动者与用人单位解除或者终止劳动关系后，请求用人单位返还其收取的劳动合同定金、保证金、抵押金、抵押物发生的纠纷，或者办理劳动者的人事档案、社会保险关系等移转手续发生的纠纷；</w:t>
      </w:r>
      <w:r>
        <w:rPr>
          <w:sz w:val="19"/>
        </w:rPr>
        <w:br/>
      </w:r>
      <w:r>
        <w:rPr>
          <w:sz w:val="19"/>
        </w:rPr>
        <w:t>（五）劳动者以用人单位未为其办理社会保险手续，且社会保险经办机构不能补办导致其无法享受社会保险待遇为由，要求用人单位赔偿损失发生的纠纷；</w:t>
      </w:r>
      <w:r>
        <w:rPr>
          <w:sz w:val="19"/>
        </w:rPr>
        <w:br/>
      </w:r>
      <w:r>
        <w:rPr>
          <w:sz w:val="19"/>
        </w:rPr>
        <w:t>（六）劳动者退休后，与尚未参加社会保险统筹的原用人单位因追索养老金、医疗费、工伤保险待遇和其他社会保险待遇而发生的纠纷；</w:t>
      </w:r>
      <w:r>
        <w:rPr>
          <w:sz w:val="19"/>
        </w:rPr>
        <w:br/>
      </w:r>
      <w:r>
        <w:rPr>
          <w:sz w:val="19"/>
        </w:rPr>
        <w:t>（七）劳动者因为工伤、职业病，请求用人单位依法给予工伤保险待遇发生的纠纷；</w:t>
      </w:r>
      <w:r>
        <w:rPr>
          <w:sz w:val="19"/>
        </w:rPr>
        <w:br/>
      </w:r>
      <w:r>
        <w:rPr>
          <w:sz w:val="19"/>
        </w:rPr>
        <w:t>（八）劳动者依据劳动合同法第八十五条规定，要求用人单位支付加付赔偿金发生的纠纷；</w:t>
      </w:r>
      <w:r>
        <w:rPr>
          <w:sz w:val="19"/>
        </w:rPr>
        <w:br/>
      </w:r>
      <w:r>
        <w:rPr>
          <w:sz w:val="19"/>
        </w:rPr>
        <w:t>（九）因企业自主进行改制发生的纠纷。</w:t>
      </w:r>
    </w:p>
    <w:p>
      <w:pPr>
        <w:keepNext/>
        <w:spacing w:line="288" w:lineRule="auto" w:after="80"/>
      </w:pPr>
      <w:r>
        <w:rPr>
          <w:b/>
          <w:sz w:val="19"/>
        </w:rPr>
        <w:t xml:space="preserve">适用边界  </w:t>
      </w:r>
      <w:r>
        <w:rPr>
          <w:sz w:val="19"/>
        </w:rPr>
        <w:t>第五项未办理手续且不能补办、无法享受待遇的条件不能省略，不自动覆盖已参保迟缴。</w:t>
      </w:r>
    </w:p>
    <w:p>
      <w:pPr>
        <w:keepNext/>
        <w:spacing w:line="288" w:lineRule="auto" w:after="80"/>
      </w:pPr>
      <w:r>
        <w:rPr>
          <w:b/>
          <w:sz w:val="19"/>
        </w:rPr>
        <w:t xml:space="preserve">资料核对日期  </w:t>
      </w:r>
      <w:r>
        <w:rPr>
          <w:color w:val="71847D"/>
          <w:sz w:val="19"/>
        </w:rPr>
        <w:t>2026-10-06</w:t>
      </w:r>
    </w:p>
    <w:p>
      <w:pPr>
        <w:keepNext w:val="0"/>
        <w:spacing w:line="288" w:lineRule="auto" w:after="80"/>
      </w:pPr>
      <w:r>
        <w:rPr>
          <w:b/>
          <w:sz w:val="19"/>
        </w:rPr>
        <w:t xml:space="preserve">来源链接  </w:t>
      </w:r>
      <w:r>
        <w:rPr>
          <w:sz w:val="19"/>
        </w:rPr>
      </w:r>
      <w:hyperlink r:id="rId14">
        <w:r>
          <w:rPr>
            <w:color w:val="287B65"/>
          </w:rPr>
          <w:t>https://www.court.gov.cn/fabu/xiangqing/282121.html</w:t>
        </w:r>
      </w:hyperlink>
    </w:p>
    <w:p>
      <w:pPr>
        <w:pStyle w:val="Heading2"/>
        <w:keepNext/>
      </w:pPr>
      <w:r>
        <w:t>O008-facts  工程转包给个人，未建立劳动关系仍承担工伤责任</w:t>
      </w:r>
    </w:p>
    <w:p>
      <w:pPr>
        <w:keepNext/>
        <w:spacing w:line="288" w:lineRule="auto" w:after="80"/>
      </w:pPr>
      <w:r>
        <w:rPr>
          <w:color w:val="71847D"/>
          <w:sz w:val="19"/>
        </w:rPr>
        <w:t>案例参考 · 案例一 · 基本案情</w:t>
      </w:r>
    </w:p>
    <w:p>
      <w:pPr>
        <w:keepNext/>
        <w:spacing w:line="288" w:lineRule="auto" w:after="80"/>
      </w:pPr>
      <w:r>
        <w:rPr>
          <w:sz w:val="19"/>
        </w:rPr>
        <w:t>【官方发布案例的核对摘要，非完整裁判文书】建筑公司将工程转包给个人，个人招用工人后工人高处坠落。生效判决确认工人与建筑公司不存在劳动关系，但人社部门已认定工伤及该公司承担工伤保险责任。</w:t>
      </w:r>
    </w:p>
    <w:p>
      <w:pPr>
        <w:keepNext/>
        <w:spacing w:line="288" w:lineRule="auto" w:after="80"/>
      </w:pPr>
      <w:r>
        <w:rPr>
          <w:b/>
          <w:sz w:val="19"/>
        </w:rPr>
        <w:t xml:space="preserve">适用边界  </w:t>
      </w:r>
      <w:r>
        <w:rPr>
          <w:sz w:val="19"/>
        </w:rPr>
        <w:t>适用于该类转包及已认定工伤的事实；不能推出任何没有劳动关系的意外都由公司承担工伤责任。</w:t>
      </w:r>
    </w:p>
    <w:p>
      <w:pPr>
        <w:keepNext/>
        <w:spacing w:line="288" w:lineRule="auto" w:after="80"/>
      </w:pPr>
      <w:r>
        <w:rPr>
          <w:b/>
          <w:sz w:val="19"/>
        </w:rPr>
        <w:t xml:space="preserve">资料核对日期  </w:t>
      </w:r>
      <w:r>
        <w:rPr>
          <w:color w:val="71847D"/>
          <w:sz w:val="19"/>
        </w:rPr>
        <w:t>2026-10-04</w:t>
      </w:r>
    </w:p>
    <w:p>
      <w:pPr>
        <w:keepNext/>
        <w:spacing w:line="288" w:lineRule="auto" w:after="80"/>
      </w:pPr>
      <w:r>
        <w:rPr>
          <w:b/>
          <w:sz w:val="19"/>
        </w:rPr>
        <w:t xml:space="preserve">发布机构  </w:t>
      </w:r>
      <w:r>
        <w:rPr>
          <w:color w:val="71847D"/>
          <w:sz w:val="19"/>
        </w:rPr>
        <w:t>最高人民法院</w:t>
      </w:r>
    </w:p>
    <w:p>
      <w:pPr>
        <w:keepNext w:val="0"/>
        <w:spacing w:line="288" w:lineRule="auto" w:after="80"/>
      </w:pPr>
      <w:r>
        <w:rPr>
          <w:b/>
          <w:sz w:val="19"/>
        </w:rPr>
        <w:t xml:space="preserve">来源链接  </w:t>
      </w:r>
      <w:r>
        <w:rPr>
          <w:sz w:val="19"/>
        </w:rPr>
      </w:r>
      <w:hyperlink r:id="rId15">
        <w:r>
          <w:rPr>
            <w:color w:val="287B65"/>
          </w:rPr>
          <w:t>https://www.court.gov.cn/zixun/xiangqing/472681.html</w:t>
        </w:r>
      </w:hyperlink>
    </w:p>
    <w:p>
      <w:pPr>
        <w:pStyle w:val="Heading2"/>
        <w:keepNext/>
      </w:pPr>
      <w:r>
        <w:t>O008-reasoning  工程转包给个人，未建立劳动关系仍承担工伤责任</w:t>
      </w:r>
    </w:p>
    <w:p>
      <w:pPr>
        <w:keepNext/>
        <w:spacing w:line="288" w:lineRule="auto" w:after="80"/>
      </w:pPr>
      <w:r>
        <w:rPr>
          <w:color w:val="71847D"/>
          <w:sz w:val="19"/>
        </w:rPr>
        <w:t>案例参考 · 案例一 · 认定理由</w:t>
      </w:r>
    </w:p>
    <w:p>
      <w:pPr>
        <w:keepNext/>
        <w:spacing w:line="288" w:lineRule="auto" w:after="80"/>
      </w:pPr>
      <w:r>
        <w:rPr>
          <w:sz w:val="19"/>
        </w:rPr>
        <w:t>【官方发布案例的核对摘要，非完整裁判文书】法院认为，在违法转包给个人等法定情形中，工伤保险责任不必以劳动关系为前提；承包单位未缴工伤保险，应支付相应待遇。</w:t>
      </w:r>
    </w:p>
    <w:p>
      <w:pPr>
        <w:keepNext/>
        <w:spacing w:line="288" w:lineRule="auto" w:after="80"/>
      </w:pPr>
      <w:r>
        <w:rPr>
          <w:b/>
          <w:sz w:val="19"/>
        </w:rPr>
        <w:t xml:space="preserve">适用边界  </w:t>
      </w:r>
      <w:r>
        <w:rPr>
          <w:sz w:val="19"/>
        </w:rPr>
        <w:t>适用于该类转包及已认定工伤的事实；不能推出任何没有劳动关系的意外都由公司承担工伤责任。</w:t>
      </w:r>
    </w:p>
    <w:p>
      <w:pPr>
        <w:keepNext/>
        <w:spacing w:line="288" w:lineRule="auto" w:after="80"/>
      </w:pPr>
      <w:r>
        <w:rPr>
          <w:b/>
          <w:sz w:val="19"/>
        </w:rPr>
        <w:t xml:space="preserve">资料核对日期  </w:t>
      </w:r>
      <w:r>
        <w:rPr>
          <w:color w:val="71847D"/>
          <w:sz w:val="19"/>
        </w:rPr>
        <w:t>2026-10-04</w:t>
      </w:r>
    </w:p>
    <w:p>
      <w:pPr>
        <w:keepNext/>
        <w:spacing w:line="288" w:lineRule="auto" w:after="80"/>
      </w:pPr>
      <w:r>
        <w:rPr>
          <w:b/>
          <w:sz w:val="19"/>
        </w:rPr>
        <w:t xml:space="preserve">发布机构  </w:t>
      </w:r>
      <w:r>
        <w:rPr>
          <w:color w:val="71847D"/>
          <w:sz w:val="19"/>
        </w:rPr>
        <w:t>最高人民法院</w:t>
      </w:r>
    </w:p>
    <w:p>
      <w:pPr>
        <w:keepNext w:val="0"/>
        <w:spacing w:line="288" w:lineRule="auto" w:after="80"/>
      </w:pPr>
      <w:r>
        <w:rPr>
          <w:b/>
          <w:sz w:val="19"/>
        </w:rPr>
        <w:t xml:space="preserve">来源链接  </w:t>
      </w:r>
      <w:r>
        <w:rPr>
          <w:sz w:val="19"/>
        </w:rPr>
      </w:r>
      <w:hyperlink r:id="rId15">
        <w:r>
          <w:rPr>
            <w:color w:val="287B65"/>
          </w:rPr>
          <w:t>https://www.court.gov.cn/zixun/xiangqing/472681.html</w:t>
        </w:r>
      </w:hyperlink>
    </w:p>
    <w:p>
      <w:pPr>
        <w:pStyle w:val="Heading2"/>
        <w:keepNext/>
      </w:pPr>
      <w:r>
        <w:t>O008-outcome  工程转包给个人，未建立劳动关系仍承担工伤责任</w:t>
      </w:r>
    </w:p>
    <w:p>
      <w:pPr>
        <w:keepNext/>
        <w:spacing w:line="288" w:lineRule="auto" w:after="80"/>
      </w:pPr>
      <w:r>
        <w:rPr>
          <w:color w:val="71847D"/>
          <w:sz w:val="19"/>
        </w:rPr>
        <w:t>案例参考 · 案例一 · 处理结果</w:t>
      </w:r>
    </w:p>
    <w:p>
      <w:pPr>
        <w:keepNext/>
        <w:spacing w:line="288" w:lineRule="auto" w:after="80"/>
      </w:pPr>
      <w:r>
        <w:rPr>
          <w:sz w:val="19"/>
        </w:rPr>
        <w:t>【官方发布案例的核对摘要，非完整裁判文书】法院判令建筑公司支付相应工伤保险待遇。官方未公开具体支付金额。</w:t>
      </w:r>
    </w:p>
    <w:p>
      <w:pPr>
        <w:keepNext/>
        <w:spacing w:line="288" w:lineRule="auto" w:after="80"/>
      </w:pPr>
      <w:r>
        <w:rPr>
          <w:b/>
          <w:sz w:val="19"/>
        </w:rPr>
        <w:t xml:space="preserve">适用边界  </w:t>
      </w:r>
      <w:r>
        <w:rPr>
          <w:sz w:val="19"/>
        </w:rPr>
        <w:t>适用于该类转包及已认定工伤的事实；不能推出任何没有劳动关系的意外都由公司承担工伤责任。</w:t>
      </w:r>
    </w:p>
    <w:p>
      <w:pPr>
        <w:keepNext/>
        <w:spacing w:line="288" w:lineRule="auto" w:after="80"/>
      </w:pPr>
      <w:r>
        <w:rPr>
          <w:b/>
          <w:sz w:val="19"/>
        </w:rPr>
        <w:t xml:space="preserve">资料核对日期  </w:t>
      </w:r>
      <w:r>
        <w:rPr>
          <w:color w:val="71847D"/>
          <w:sz w:val="19"/>
        </w:rPr>
        <w:t>2026-10-04</w:t>
      </w:r>
    </w:p>
    <w:p>
      <w:pPr>
        <w:keepNext/>
        <w:spacing w:line="288" w:lineRule="auto" w:after="80"/>
      </w:pPr>
      <w:r>
        <w:rPr>
          <w:b/>
          <w:sz w:val="19"/>
        </w:rPr>
        <w:t xml:space="preserve">发布机构  </w:t>
      </w:r>
      <w:r>
        <w:rPr>
          <w:color w:val="71847D"/>
          <w:sz w:val="19"/>
        </w:rPr>
        <w:t>最高人民法院</w:t>
      </w:r>
    </w:p>
    <w:p>
      <w:pPr>
        <w:keepNext w:val="0"/>
        <w:spacing w:line="288" w:lineRule="auto" w:after="80"/>
      </w:pPr>
      <w:r>
        <w:rPr>
          <w:b/>
          <w:sz w:val="19"/>
        </w:rPr>
        <w:t xml:space="preserve">来源链接  </w:t>
      </w:r>
      <w:r>
        <w:rPr>
          <w:sz w:val="19"/>
        </w:rPr>
      </w:r>
      <w:hyperlink r:id="rId15">
        <w:r>
          <w:rPr>
            <w:color w:val="287B65"/>
          </w:rPr>
          <w:t>https://www.court.gov.cn/zixun/xiangqing/472681.html</w:t>
        </w:r>
      </w:hyperlink>
    </w:p>
    <w:p>
      <w:pPr>
        <w:pStyle w:val="Heading2"/>
        <w:keepNext/>
      </w:pPr>
      <w:r>
        <w:t>SUP-R024  无薪试岗</w:t>
      </w:r>
    </w:p>
    <w:p>
      <w:pPr>
        <w:keepNext/>
        <w:spacing w:line="288" w:lineRule="auto" w:after="80"/>
      </w:pPr>
      <w:r>
        <w:rPr>
          <w:color w:val="71847D"/>
          <w:sz w:val="19"/>
        </w:rPr>
        <w:t>辅助资料（团队整理） · 风险判定辅助</w:t>
      </w:r>
    </w:p>
    <w:p>
      <w:pPr>
        <w:keepNext/>
        <w:spacing w:line="288" w:lineRule="auto" w:after="80"/>
      </w:pPr>
      <w:r>
        <w:rPr>
          <w:sz w:val="19"/>
        </w:rPr>
        <w:t>查是否实际用工、劳动管理、交付劳动；真实短时面试技能测试不得自动当作劳动关系。</w:t>
      </w:r>
      <w:r>
        <w:rPr>
          <w:sz w:val="19"/>
        </w:rPr>
        <w:br/>
      </w:r>
      <w:r>
        <w:rPr>
          <w:sz w:val="19"/>
        </w:rPr>
        <w:t>关联依据编号：LCL-007、LCL-030</w:t>
      </w:r>
    </w:p>
    <w:p>
      <w:pPr>
        <w:keepNext/>
        <w:spacing w:line="288" w:lineRule="auto" w:after="80"/>
      </w:pPr>
      <w:r>
        <w:rPr>
          <w:b/>
          <w:sz w:val="19"/>
        </w:rPr>
        <w:t xml:space="preserve">适用边界  </w:t>
      </w:r>
      <w:r>
        <w:rPr>
          <w:sz w:val="19"/>
        </w:rPr>
        <w:t>团队整理的辅助资料，不是官方规范原文；不能单独支撑风险定性。请读取关联依据。必须核对适用条件、例外、时间、地域及用户事实；不代替司法或行政认定。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6">
        <w:r>
          <w:rPr>
            <w:color w:val="287B65"/>
          </w:rPr>
          <w:t>https://www.dhlh.gov.cn/rsj/Web/_F0_0_28D04GIGEN3XZTQZ5FVD0YUCHG.htm</w:t>
        </w:r>
      </w:hyperlink>
    </w:p>
    <w:sectPr w:rsidR="00FC693F" w:rsidRPr="0006063C" w:rsidSect="00034616">
      <w:headerReference w:type="default" r:id="rId9"/>
      <w:footerReference w:type="default" r:id="rId10"/>
      <w:pgSz w:w="11906" w:h="16838"/>
      <w:pgMar w:top="1077"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1847D"/>
        <w:sz w:val="16"/>
      </w:rPr>
      <w:t xml:space="preserve">求职风险自查报告  ·  第 </w:t>
    </w:r>
    <w:fldSimple w:instr="PAGE"/>
    <w:r>
      <w:rPr>
        <w:color w:val="71847D"/>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287B65"/>
        <w:sz w:val="18"/>
      </w:rPr>
      <w:t>求职避坑镜  /  JOB MIRROR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line="336" w:lineRule="auto" w:after="140"/>
    </w:pPr>
    <w:rPr>
      <w:rFonts w:ascii="Microsoft YaHei" w:hAnsi="Microsoft YaHei" w:eastAsia="Microsoft YaHei"/>
      <w:color w:val="263D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Microsoft YaHei" w:hAnsi="Microsoft YaHei" w:eastAsia="Microsoft YaHei"/>
      <w:b/>
      <w:bCs/>
      <w:color w:val="287B65"/>
      <w:sz w:val="34"/>
      <w:szCs w:val="28"/>
    </w:rPr>
  </w:style>
  <w:style w:type="paragraph" w:styleId="Heading2">
    <w:name w:val="heading 2"/>
    <w:basedOn w:val="Normal"/>
    <w:next w:val="Normal"/>
    <w:link w:val="Heading2Char"/>
    <w:uiPriority w:val="9"/>
    <w:unhideWhenUsed/>
    <w:qFormat/>
    <w:rsid w:val="00FC693F"/>
    <w:pPr>
      <w:keepNext/>
      <w:keepLines/>
      <w:spacing w:before="300" w:after="160"/>
      <w:outlineLvl w:val="1"/>
    </w:pPr>
    <w:rPr>
      <w:rFonts w:asciiTheme="majorHAnsi" w:eastAsiaTheme="majorEastAsia" w:hAnsiTheme="majorHAnsi" w:cstheme="majorBidi" w:ascii="Microsoft YaHei" w:hAnsi="Microsoft YaHei" w:eastAsia="Microsoft YaHei"/>
      <w:b/>
      <w:bCs/>
      <w:color w:val="287B6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D343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flk.npc.gov.cn/" TargetMode="External"/><Relationship Id="rId13" Type="http://schemas.openxmlformats.org/officeDocument/2006/relationships/hyperlink" Target="https://www.samr.gov.cn/zw/zfxxgk/fdzdgknr/bgt/art/2023/art_0abfdd261c03417b949df19d869add8d.html" TargetMode="External"/><Relationship Id="rId14" Type="http://schemas.openxmlformats.org/officeDocument/2006/relationships/hyperlink" Target="https://www.court.gov.cn/fabu/xiangqing/282121.html" TargetMode="External"/><Relationship Id="rId15" Type="http://schemas.openxmlformats.org/officeDocument/2006/relationships/hyperlink" Target="https://www.court.gov.cn/zixun/xiangqing/472681.html" TargetMode="External"/><Relationship Id="rId16" Type="http://schemas.openxmlformats.org/officeDocument/2006/relationships/hyperlink" Target="https://www.dhlh.gov.cn/rsj/Web/_F0_0_28D04GIGEN3XZTQZ5FVD0YUCHG.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求职风险自查报告</dc:title>
  <dc:subject/>
  <dc:creator>求职避坑镜</dc:creator>
  <cp:keywords/>
  <dc:description>generated by python-docx</dc:description>
  <cp:lastModifiedBy/>
  <cp:revision>1</cp:revision>
  <dcterms:created xsi:type="dcterms:W3CDTF">2013-12-23T23:15:00Z</dcterms:created>
  <dcterms:modified xsi:type="dcterms:W3CDTF">2013-12-23T23:15:00Z</dcterms:modified>
  <cp:category/>
</cp:coreProperties>
</file>