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真实合同案例-推拿师竞业条款</w:t>
      </w:r>
    </w:p>
    <w:p>
      <w:r>
        <w:rPr>
          <w:color w:val="71847D"/>
        </w:rPr>
        <w:t>第 1 版  |  生成时间：2026-10-06 20:54</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根据已提供事实，主要风险信号为：保密协议中竞业限制条款及公司索要50000元违约金的适用风险。相关判断须核对适用条件，不构成违法认定，也不预设裁判结果。</w:t>
      </w:r>
    </w:p>
    <w:p>
      <w:r>
        <w:rPr>
          <w:b/>
        </w:rPr>
        <w:t xml:space="preserve">概览依据：  </w:t>
      </w:r>
      <w:r>
        <w:rPr>
          <w:color w:val="71847D"/>
        </w:rPr>
        <w:t>LCL-023、LCL-024、LAB-J2-013、O021-facts、O021-reasoning、O021-outcome</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竞业限制条款及50000元违约金请求的适用风险</w:t>
            </w:r>
          </w:p>
        </w:tc>
        <w:tc>
          <w:tcPr>
            <w:tcW w:type="dxa" w:w="5443"/>
          </w:tcPr>
          <w:p>
            <w:pPr>
              <w:spacing w:line="288" w:lineRule="auto" w:after="140" w:before="140"/>
            </w:pPr>
            <w:r>
              <w:rPr>
                <w:sz w:val="19"/>
              </w:rPr>
              <w:t>核查并留存公司在你离职后、竞业期限内是否按月支付经济补偿的凭证与时间记录。</w:t>
            </w:r>
          </w:p>
        </w:tc>
      </w:tr>
    </w:tbl>
    <w:p>
      <w:pPr>
        <w:pStyle w:val="Heading1"/>
      </w:pPr>
      <w:r>
        <w:t>02  风险详情</w:t>
      </w:r>
    </w:p>
    <w:p>
      <w:pPr>
        <w:pStyle w:val="Heading2"/>
        <w:keepNext/>
      </w:pPr>
      <w:r>
        <w:rPr>
          <w:color w:val="B78224"/>
        </w:rPr>
        <w:t>01  竞业限制条款及50000元违约金请求的适用风险  ·  需关注</w:t>
      </w:r>
    </w:p>
    <w:p>
      <w:pPr>
        <w:keepNext/>
        <w:shd w:fill="F3F6F5"/>
      </w:pPr>
      <w:r>
        <w:rPr>
          <w:b/>
        </w:rPr>
        <w:t xml:space="preserve">材料原文  </w:t>
      </w:r>
      <w:r>
        <w:t>双方签订员工保密协议，约定离职后两年内不得从事同类产品或同类企业的相关服务，否则一次</w:t>
      </w:r>
      <w:r>
        <w:br/>
      </w:r>
      <w:r>
        <w:t>性支付不低于50000元违约金。</w:t>
      </w:r>
    </w:p>
    <w:p>
      <w:pPr>
        <w:keepNext/>
      </w:pPr>
      <w:r>
        <w:rPr>
          <w:b/>
        </w:rPr>
        <w:t xml:space="preserve">原文位置  </w:t>
      </w:r>
      <w:r>
        <w:rPr>
          <w:color w:val="71847D"/>
        </w:rPr>
        <w:t>测试招聘信息或待签合同 · 第1页</w:t>
      </w:r>
    </w:p>
    <w:p>
      <w:pPr>
        <w:keepNext/>
      </w:pPr>
      <w:r>
        <w:rPr>
          <w:b/>
        </w:rPr>
        <w:t xml:space="preserve">风险说明  </w:t>
      </w:r>
      <w:r>
        <w:t>劳动合同法第二十四条规定竞业限制人员限于高级管理人员、高级技术人员和其他负有保密义务的人员；第二十三条规定竞业限制条款针对负有保密义务的劳动者，并需在竞业限制期限内按月给予经济补偿。材料显示岗位为推拿师，公司主张员工掌握客户资料、产品报价方案、培训课程，同时标注该50000元为公司主张、不是已确认的债务；而披露的实际信息为：客户资料系服务过程中接触的客户名称、联系方式等基本信息，产品报价对客户公开，课件知识多为行业内中医小儿推拿常识。据此，员工是否属于其他负有保密义务的人员、是否存在值得保护的商业秘密，均需结合完整协议与证据核实。《最高人民法院关于审理劳动争议案件适用法律问题的解释（二）》第十三条规定，劳动者未知悉、接触商业秘密时，可请求确认竞业限制条款不生效；该解释自2025年9月1日施行，本案离职时间为2021年，涉诉时应核对当时有效规则，不机械回溯适用。取得高级小儿推拿职业培训师证书本身不当然证明接触商业秘密或构成适格主体。最高人民法院发布的普通巡逻保安竞业案例（官方案例摘要）中，仲裁以岗位难以知悉商业秘密、单位无证据证明接触保密事项为由认定不属于竞业限制适格主体并驳回违约金请求；该案例仅作个案参考，不直接适用于本案。</w:t>
      </w:r>
      <w:r>
        <w:br/>
      </w:r>
      <w:r/>
      <w:r>
        <w:br/>
      </w:r>
      <w:r>
        <w:t>协议约定一次性支付不低于50000元违约金，该金额是约定数额，是否成立与是否调整，取决于条款是否有效、是否存在违约行为及实际损失等，须经仲裁或诉讼认定。劳动合同法第二十三条规定，劳动者违反竞业限制约定应按约定支付违约金，其前提是条款有效成立且确有违约行为；公司单方主张本身不产生既判力。</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O021-facts · 普通巡逻保安离职竞业条款不具约束力 · 案例5 · 基本案情</w:t>
      </w:r>
    </w:p>
    <w:p>
      <w:pPr>
        <w:keepNext/>
      </w:pPr>
      <w:r>
        <w:rPr>
          <w:b/>
        </w:rPr>
        <w:t xml:space="preserve">分析依据  </w:t>
      </w:r>
      <w:r>
        <w:t>O021-reasoning · 普通巡逻保安离职竞业条款不具约束力 · 案例5 · 认定理由</w:t>
      </w:r>
    </w:p>
    <w:p>
      <w:pPr>
        <w:keepNext/>
      </w:pPr>
      <w:r>
        <w:rPr>
          <w:b/>
        </w:rPr>
        <w:t xml:space="preserve">分析依据  </w:t>
      </w:r>
      <w:r>
        <w:t>O021-outcome · 普通巡逻保安离职竞业条款不具约束力 · 案例5 · 处理结果</w:t>
      </w:r>
    </w:p>
    <w:p>
      <w:pPr>
        <w:keepNext/>
      </w:pPr>
      <w:r>
        <w:rPr>
          <w:color w:val="287B65"/>
        </w:rPr>
        <w:t>建议行动</w:t>
      </w:r>
    </w:p>
    <w:p>
      <w:pPr>
        <w:pStyle w:val="ListBullet"/>
        <w:keepNext/>
      </w:pPr>
      <w:r>
        <w:t>核查并留存公司在你离职后、竞业期限内是否按月支付经济补偿的凭证与时间记录。</w:t>
      </w:r>
    </w:p>
    <w:p>
      <w:pPr>
        <w:pStyle w:val="ListBullet"/>
        <w:keepNext/>
      </w:pPr>
      <w:r>
        <w:t>整理你实际接触的信息清单，配合保存原保密/竞业协议文本、岗位说明与工作内容记录。</w:t>
      </w:r>
    </w:p>
    <w:p>
      <w:pPr>
        <w:pStyle w:val="ListBullet"/>
        <w:keepNext/>
      </w:pPr>
      <w:r>
        <w:t>如对方已发函或提起仲裁、诉讼，保留全部书面材料与送达凭证，注意答辩和时效期限。</w:t>
      </w:r>
    </w:p>
    <w:p>
      <w:pPr>
        <w:pStyle w:val="ListBullet"/>
        <w:keepNext/>
      </w:pPr>
      <w:r>
        <w:t>对方来函索款时，可先书面要求其提供竞业限制有效成立、已支付经济补偿及你存在违约事实的依据，不必仅凭函件即行支付。</w:t>
      </w:r>
    </w:p>
    <w:p>
      <w:pPr>
        <w:pStyle w:val="ListBullet"/>
        <w:keepNext/>
      </w:pPr>
      <w:r>
        <w:t>若对方申请劳动仲裁或起诉，注意答辩期限，可就条款不生效或无效、未支付补偿、缺乏商业秘密等提出抗辩，并可主张约定违约金过高请求酌减（酌减属个案裁量，不保证结果）。</w:t>
      </w:r>
    </w:p>
    <w:p>
      <w:pPr>
        <w:pStyle w:val="ListBullet"/>
        <w:keepNext w:val="0"/>
      </w:pPr>
      <w:r>
        <w:t>可向当地劳动人事争议仲裁机构了解申请与答辩流程，或咨询劳动争议专业律师评估应对方案。</w:t>
      </w:r>
    </w:p>
    <w:p>
      <w:pPr>
        <w:pStyle w:val="Heading1"/>
      </w:pPr>
      <w:r>
        <w:t>03  待核实事项与分析局限</w:t>
      </w:r>
    </w:p>
    <w:p>
      <w:pPr>
        <w:pStyle w:val="ListBullet"/>
      </w:pPr>
      <w:r>
        <w:t>材料为按公开资料整理的摘录，非协议原件，本报告不核验其与原始文件的一致性。</w:t>
      </w:r>
    </w:p>
    <w:p>
      <w:pPr>
        <w:pStyle w:val="ListBullet"/>
      </w:pPr>
      <w:r>
        <w:t>未提供法院评价、裁判结果或案号，无法确认是否已进入或经过仲裁、诉讼程序。</w:t>
      </w:r>
    </w:p>
    <w:p>
      <w:pPr>
        <w:pStyle w:val="ListBullet"/>
      </w:pPr>
      <w:r>
        <w:t>缺少完整协议文本、竞业经济补偿支付记录、公司主张的商业秘密具体证据及公司主体信息，结论只能为有限分析。</w:t>
      </w:r>
    </w:p>
    <w:p>
      <w:pPr>
        <w:pStyle w:val="ListBullet"/>
      </w:pPr>
      <w:r>
        <w:t>材料未涉及离职后是否实际从事同类竞争业务，也未说明入职社区卫生服务中心中药房是否构成竞业，均需另行核实。</w:t>
      </w:r>
    </w:p>
    <w:p>
      <w:pPr>
        <w:pStyle w:val="ListBullet"/>
      </w:pPr>
      <w:r>
        <w:t>课程、报价、客户资料是否构成商业秘密，需结合行业惯例与该公司保密措施个案判断，本报告不作定性。</w:t>
      </w:r>
    </w:p>
    <w:p>
      <w:pPr>
        <w:pStyle w:val="ListBullet"/>
      </w:pPr>
      <w:r>
        <w:t>适用条件或材料信息未明的核查项：披露信息与原公司秘密主张的匹配性、公司是否支付经济补偿、以及是否存在违反竞业限制的行为均尚待核实。</w:t>
      </w:r>
    </w:p>
    <w:p>
      <w:pPr>
        <w:pStyle w:val="ListBullet"/>
      </w:pPr>
      <w:r>
        <w:t>《最高人民法院关于审理劳动争议案件适用法律问题的解释（二）》第十三条自2025年9月1日施行，本案离职时间为2021年，是否适用需以涉案时点规则为准。</w:t>
      </w:r>
    </w:p>
    <w:p>
      <w:pPr>
        <w:pStyle w:val="ListBullet"/>
      </w:pPr>
      <w:r>
        <w:t>本报告为风险提示与分析，不是法院或仲裁机构裁判，也不替代律师意见，不保证任何主张或抗辩结果。</w:t>
      </w:r>
    </w:p>
    <w:p>
      <w:pPr>
        <w:pStyle w:val="Heading1"/>
      </w:pPr>
      <w:r>
        <w:t>04  依据与来源</w:t>
      </w:r>
    </w:p>
    <w:p>
      <w:r>
        <w:rPr>
          <w:color w:val="71847D"/>
        </w:rPr>
        <w:t>法条、风险提示、指南及案例分别标注；案例结论只用于个案参考。</w:t>
      </w:r>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4">
        <w:r>
          <w:rPr>
            <w:color w:val="287B65"/>
          </w:rPr>
          <w:t>https://www.court.gov.cn/zixun/xiangqing/472691.html</w:t>
        </w:r>
      </w:hyperlink>
    </w:p>
    <w:p>
      <w:pPr>
        <w:pStyle w:val="Heading2"/>
        <w:keepNext/>
      </w:pPr>
      <w:r>
        <w:t>O021-facts  普通巡逻保安离职竞业条款不具约束力</w:t>
      </w:r>
    </w:p>
    <w:p>
      <w:pPr>
        <w:keepNext/>
        <w:spacing w:line="288" w:lineRule="auto" w:after="80"/>
      </w:pPr>
      <w:r>
        <w:rPr>
          <w:color w:val="71847D"/>
          <w:sz w:val="19"/>
        </w:rPr>
        <w:t>案例参考 · 案例5 · 基本案情</w:t>
      </w:r>
    </w:p>
    <w:p>
      <w:pPr>
        <w:keepNext/>
        <w:spacing w:line="288" w:lineRule="auto" w:after="80"/>
      </w:pPr>
      <w:r>
        <w:rPr>
          <w:sz w:val="19"/>
        </w:rPr>
        <w:t>【官方发布案例的核对摘要，非完整裁判文书】普通巡逻保安合同附一年竞业限制及20万元违约金。期满后转到另一保安公司，原单位要求支付违约金。</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5">
        <w:r>
          <w:rPr>
            <w:color w:val="287B65"/>
          </w:rPr>
          <w:t>https://www.court.gov.cn/zixun/xiangqing/462311.html</w:t>
        </w:r>
      </w:hyperlink>
    </w:p>
    <w:p>
      <w:pPr>
        <w:pStyle w:val="Heading2"/>
        <w:keepNext/>
      </w:pPr>
      <w:r>
        <w:t>O021-reasoning  普通巡逻保安离职竞业条款不具约束力</w:t>
      </w:r>
    </w:p>
    <w:p>
      <w:pPr>
        <w:keepNext/>
        <w:spacing w:line="288" w:lineRule="auto" w:after="80"/>
      </w:pPr>
      <w:r>
        <w:rPr>
          <w:color w:val="71847D"/>
          <w:sz w:val="19"/>
        </w:rPr>
        <w:t>案例参考 · 案例5 · 认定理由</w:t>
      </w:r>
    </w:p>
    <w:p>
      <w:pPr>
        <w:keepNext/>
        <w:spacing w:line="288" w:lineRule="auto" w:after="80"/>
      </w:pPr>
      <w:r>
        <w:rPr>
          <w:sz w:val="19"/>
        </w:rPr>
        <w:t>【官方发布案例的核对摘要，非完整裁判文书】仲裁查明岗位难以知悉商业秘密，单位亦无证据证明接触保密事项，不属于竞业限制适格主体。</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5">
        <w:r>
          <w:rPr>
            <w:color w:val="287B65"/>
          </w:rPr>
          <w:t>https://www.court.gov.cn/zixun/xiangqing/462311.html</w:t>
        </w:r>
      </w:hyperlink>
    </w:p>
    <w:p>
      <w:pPr>
        <w:pStyle w:val="Heading2"/>
        <w:keepNext/>
      </w:pPr>
      <w:r>
        <w:t>O021-outcome  普通巡逻保安离职竞业条款不具约束力</w:t>
      </w:r>
    </w:p>
    <w:p>
      <w:pPr>
        <w:keepNext/>
        <w:spacing w:line="288" w:lineRule="auto" w:after="80"/>
      </w:pPr>
      <w:r>
        <w:rPr>
          <w:color w:val="71847D"/>
          <w:sz w:val="19"/>
        </w:rPr>
        <w:t>案例参考 · 案例5 · 处理结果</w:t>
      </w:r>
    </w:p>
    <w:p>
      <w:pPr>
        <w:keepNext/>
        <w:spacing w:line="288" w:lineRule="auto" w:after="80"/>
      </w:pPr>
      <w:r>
        <w:rPr>
          <w:sz w:val="19"/>
        </w:rPr>
        <w:t>【官方发布案例的核对摘要，非完整裁判文书】仲裁驳回保安公司的违约金请求。20万元是协议金额，不是实际判赔。</w:t>
      </w:r>
    </w:p>
    <w:p>
      <w:pPr>
        <w:keepNext/>
        <w:spacing w:line="288" w:lineRule="auto" w:after="80"/>
      </w:pPr>
      <w:r>
        <w:rPr>
          <w:b/>
          <w:sz w:val="19"/>
        </w:rPr>
        <w:t xml:space="preserve">适用边界  </w:t>
      </w:r>
      <w:r>
        <w:rPr>
          <w:sz w:val="19"/>
        </w:rPr>
        <w:t>须结合实际岗位与保密事项，不能只凭保安或普通员工职称就判定任何竞业条款无效。</w:t>
      </w:r>
    </w:p>
    <w:p>
      <w:pPr>
        <w:keepNext/>
        <w:spacing w:line="288" w:lineRule="auto" w:after="80"/>
      </w:pPr>
      <w:r>
        <w:rPr>
          <w:b/>
          <w:sz w:val="19"/>
        </w:rPr>
        <w:t xml:space="preserve">资料核对日期  </w:t>
      </w:r>
      <w:r>
        <w:rPr>
          <w:color w:val="71847D"/>
          <w:sz w:val="19"/>
        </w:rPr>
        <w:t>2026-10-04</w:t>
      </w:r>
    </w:p>
    <w:p>
      <w:pPr>
        <w:keepNext/>
        <w:spacing w:line="288" w:lineRule="auto" w:after="80"/>
      </w:pPr>
      <w:r>
        <w:rPr>
          <w:b/>
          <w:sz w:val="19"/>
        </w:rPr>
        <w:t xml:space="preserve">发布机构  </w:t>
      </w:r>
      <w:r>
        <w:rPr>
          <w:color w:val="71847D"/>
          <w:sz w:val="19"/>
        </w:rPr>
        <w:t>人力资源社会保障部、最高人民法院</w:t>
      </w:r>
    </w:p>
    <w:p>
      <w:pPr>
        <w:keepNext w:val="0"/>
        <w:spacing w:line="288" w:lineRule="auto" w:after="80"/>
      </w:pPr>
      <w:r>
        <w:rPr>
          <w:b/>
          <w:sz w:val="19"/>
        </w:rPr>
        <w:t xml:space="preserve">来源链接  </w:t>
      </w:r>
      <w:r>
        <w:rPr>
          <w:sz w:val="19"/>
        </w:rPr>
      </w:r>
      <w:hyperlink r:id="rId15">
        <w:r>
          <w:rPr>
            <w:color w:val="287B65"/>
          </w:rPr>
          <w:t>https://www.court.gov.cn/zixun/xiangqing/462311.html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www.court.gov.cn/zixun/xiangqing/472691.html" TargetMode="External"/><Relationship Id="rId15" Type="http://schemas.openxmlformats.org/officeDocument/2006/relationships/hyperlink" Target="https://www.court.gov.cn/zixun/xiangqing/46231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