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真实招聘案例-登记参观未用工</w:t>
      </w:r>
    </w:p>
    <w:p>
      <w:r>
        <w:rPr>
          <w:color w:val="71847D"/>
        </w:rPr>
        <w:t>第 1 版  |  生成时间：2026-10-06 20:53</w:t>
      </w:r>
    </w:p>
    <w:p>
      <w:r>
        <w:rPr>
          <w:color w:val="71847D"/>
        </w:rPr>
        <w:t>本报告依据已提供材料进行风险提示；风险等级不是违法认定或风险概率。</w:t>
      </w:r>
    </w:p>
    <w:p>
      <w:pPr>
        <w:pStyle w:val="Heading1"/>
      </w:pPr>
      <w:r>
        <w:t>01  结论与风险概览</w:t>
      </w:r>
    </w:p>
    <w:p>
      <w:pPr>
        <w:shd w:fill="EDF6F1"/>
      </w:pPr>
      <w:r>
        <w:t>现有材料为求职登记及参观事实摘录，未显示可确认的独立异常条款或招聘违法行为。仅凭现有事实尚不足以直接认定劳动关系已建立，也不足以直接要求工伤待遇；相关判断取决于是否已实际用工以及是否经过工伤认定程序。以下按用户提问作条件性分析。</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1"/>
      </w:pPr>
      <w:r>
        <w:t>02  风险详情</w:t>
      </w:r>
    </w:p>
    <w:p>
      <w:r>
        <w:t>本次未列出具体风险点。请结合分析局限理解结论。</w:t>
      </w:r>
    </w:p>
    <w:p>
      <w:pPr>
        <w:pStyle w:val="Heading1"/>
      </w:pPr>
      <w:r>
        <w:t>03  待核实事项与分析局限</w:t>
      </w:r>
    </w:p>
    <w:p>
      <w:pPr>
        <w:pStyle w:val="ListBullet"/>
      </w:pPr>
      <w:r>
        <w:t>材料仅为求职登记及参观事实摘录，非招聘启事原件，也非完整登记表，无法核实登记表全部内容及是否存在其他招聘约定。</w:t>
      </w:r>
    </w:p>
    <w:p>
      <w:pPr>
        <w:pStyle w:val="ListBullet"/>
      </w:pPr>
      <w:r>
        <w:t>未提供完整登记表、现场录像、医院材料或其他招聘约定，缺少支撑用工过程与受伤经过的基础证据。</w:t>
      </w:r>
    </w:p>
    <w:p>
      <w:pPr>
        <w:pStyle w:val="ListBullet"/>
      </w:pPr>
      <w:r>
        <w:t>不含医院诊断、昏倒原因、既往病史等医学信息，无法判断是否属于工伤情形。</w:t>
      </w:r>
    </w:p>
    <w:p>
      <w:pPr>
        <w:pStyle w:val="ListBullet"/>
      </w:pPr>
      <w:r>
        <w:t>不含法院判断、处理结果或案号，本材料不是裁判文书，也不是任何官方认定。</w:t>
      </w:r>
    </w:p>
    <w:p>
      <w:pPr>
        <w:pStyle w:val="ListBullet"/>
      </w:pPr>
      <w:r>
        <w:t>本材料不含法院判断、处理结果或案号；如后续检索案例，仅作个案参考，不能直接套用于本案。</w:t>
      </w:r>
    </w:p>
    <w:p>
      <w:pPr>
        <w:pStyle w:val="ListBullet"/>
      </w:pPr>
      <w:r>
        <w:t>劳动关系认定与工伤认定分属不同程序、不同机关；是否属于工伤、能否在劳动关系尚未确认时先行主张待遇，需依具体事实、工伤认定程序和当地规则判断。</w:t>
      </w:r>
    </w:p>
    <w:p>
      <w:pPr>
        <w:pStyle w:val="ListBullet"/>
      </w:pPr>
      <w:r>
        <w:t>未说明是否已进入工伤认定或劳动仲裁程序、是否在时效内，相关程序问题需另行核实。</w:t>
      </w:r>
    </w:p>
    <w:p>
      <w:pPr>
        <w:pStyle w:val="ListBullet"/>
      </w:pPr>
      <w:r>
        <w:t>登记与参观的判断条件（不计为风险）：现有事实不足以直接认定劳动关系。劳动合同法第七条规定用人单位自用工之日起与劳动者建立劳动关系；判断核心是用工，即是否接受单位劳动管理、是否实际提供属于单位业务组成部分的劳动、是否取得劳动报酬。材料明确记载当天只是登记求职、了解环境，未安排其从事有报酬的工作，登记表也不含合同期限、工作内容、劳动报酬等必备条款，与已实际用工的表现不符。在车间了解工作环境属于招聘接触环节，不能等同于正式上岗提供劳动。因此现有材料更接近尚未进入用工的求职阶段，难以直接认定劳动关系已建立；这是事实与举证层面的不确定，不等于认定双方一定不存在劳动关系，也不等于认定公司违法。建议：补充当天是否被安排具体任务、是否有人在旁指示命令、是否使用公司设备或工具、是否有考勤或排班记录等事实材料；补充是否存在口头或书面录用确认、约定到岗时间、约定报酬或入职承诺的材料；如确有实际用工信号（例如当天即被指派操作机器、整理物料并接受管理），应如实说明并保留相应证据。注意证据留存：现场照片、在场人员联系方式、当天的沟通记录、登记表原件或复印件等，均可向单位索取或自行固定。</w:t>
      </w:r>
    </w:p>
    <w:p>
      <w:pPr>
        <w:pStyle w:val="ListBullet"/>
      </w:pPr>
      <w:r>
        <w:t>登记与参观的判断条件（不计为风险）：昏倒与工伤待遇之间缺少前置条件与医学事实。工伤保险待遇通常以工伤认定为前提，而工伤认定一般要求存在劳动关系（法律另有规定的特定情形除外），并需审查受伤时间、地点、原因及是否属于工作时间、工作场所、因工作原因等要素。材料只记录中午在食堂就餐、下午在车间了解环境时昏倒并送医，不含医院诊断、昏倒原因、既往病史等医学信息。案例参考中，工程违法转包给个人等法定情形下工伤责任可不以劳动关系为前提，但该情形有明确的事实与法律边界，不能据此推出任何没有劳动关系的意外都由公司承担工伤责任。本材料不含法院判断、处理结果或案号，也没有任何官方认定，故不能直接得出可主张工伤待遇的结论。具体情况请以人社部门和有权机关的认定为准。建议：尽快调取并保存完整病历、诊断证明、出院记录、费用票据及缴费凭证；向单位所在地社会保险行政部门咨询工伤认定申请的时间要求、所需材料及由谁提出申请；在主张任何待遇前，先明确是走工伤认定程序还是其他民事责任路径，两者主体、举证与程序不同；如劳动关系尚不确定，可先咨询劳动人事争议仲裁机构或法律援助，确认应以何种请求和程序启动。</w:t>
      </w:r>
    </w:p>
    <w:p>
      <w:pPr>
        <w:pStyle w:val="ListBullet"/>
      </w:pPr>
      <w:r>
        <w:t>材料或证据局限：关键证据缺口导致事实无法还原。材料自述未提供完整登记表、现场录像、医院材料或其他招聘约定，且本材料为事实摘录、非招聘启事原件。这意味着即便法律标准清晰，也缺少支撑劳动关系、用工过程与受伤经过的基础证据。此类缺口会直接影响后续任何主张的可证明性：主张劳动关系的一方通常需要就先实际用工承担相应举证责任，现场在场人员陈述、当日安排记录、进出记录等往往成为关键。此处的风险来自证据不足而非已确认的违法事实。</w:t>
      </w:r>
    </w:p>
    <w:p>
      <w:pPr>
        <w:pStyle w:val="Heading1"/>
      </w:pPr>
      <w:r>
        <w:t>04  依据与来源</w:t>
      </w:r>
    </w:p>
    <w:p>
      <w:r>
        <w:rPr>
          <w:color w:val="71847D"/>
        </w:rPr>
        <w:t>法条、风险提示、指南及案例分别标注；案例结论只用于个案参考。</w:t>
      </w:r>
    </w:p>
    <w:p>
      <w:pPr>
        <w:pStyle w:val="Heading2"/>
        <w:keepNext/>
      </w:pPr>
      <w:r>
        <w:t>K003  中华人民共和国劳动合同法</w:t>
      </w:r>
    </w:p>
    <w:p>
      <w:pPr>
        <w:keepNext/>
        <w:spacing w:line="288" w:lineRule="auto" w:after="80"/>
      </w:pPr>
      <w:r>
        <w:rPr>
          <w:color w:val="71847D"/>
          <w:sz w:val="19"/>
        </w:rPr>
        <w:t>法律条文 · 第十条</w:t>
      </w:r>
    </w:p>
    <w:p>
      <w:pPr>
        <w:keepNext/>
        <w:spacing w:line="288" w:lineRule="auto" w:after="80"/>
      </w:pPr>
      <w:r>
        <w:rPr>
          <w:sz w:val="19"/>
        </w:rPr>
        <w:t>第十条　建立劳动关系，应当订立书面劳动合同。</w:t>
      </w:r>
      <w:r>
        <w:rPr>
          <w:sz w:val="19"/>
        </w:rPr>
        <w:br/>
      </w:r>
      <w:r>
        <w:rPr>
          <w:sz w:val="19"/>
        </w:rPr>
        <w:t>已建立劳动关系，未同时订立书面劳动合同的，应当自用工之日起一个月内订立书面劳动合同。</w:t>
      </w:r>
      <w:r>
        <w:rPr>
          <w:sz w:val="19"/>
        </w:rPr>
        <w:br/>
      </w:r>
      <w:r>
        <w:rPr>
          <w:sz w:val="19"/>
        </w:rPr>
        <w:t>用人单位与劳动者在用工前订立劳动合同的，劳动关系自用工之日起建立。</w:t>
      </w:r>
    </w:p>
    <w:p>
      <w:pPr>
        <w:keepNext/>
        <w:spacing w:line="288" w:lineRule="auto" w:after="80"/>
      </w:pPr>
      <w:r>
        <w:rPr>
          <w:b/>
          <w:sz w:val="19"/>
        </w:rPr>
        <w:t xml:space="preserve">适用边界  </w:t>
      </w:r>
      <w:r>
        <w:rPr>
          <w:sz w:val="19"/>
        </w:rPr>
        <w:t>培训协议不自动等同劳动合同；先核实实际用工及主体。</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LAB-J1-001  最高人民法院关于审理劳动争议案件适用法律问题的解释（一）第一条</w:t>
      </w:r>
    </w:p>
    <w:p>
      <w:pPr>
        <w:keepNext/>
        <w:spacing w:line="288" w:lineRule="auto" w:after="80"/>
      </w:pPr>
      <w:r>
        <w:rPr>
          <w:color w:val="71847D"/>
          <w:sz w:val="19"/>
        </w:rPr>
        <w:t>法律条文 · 第一条</w:t>
      </w:r>
    </w:p>
    <w:p>
      <w:pPr>
        <w:keepNext/>
        <w:spacing w:line="288" w:lineRule="auto" w:after="80"/>
      </w:pPr>
      <w:r>
        <w:rPr>
          <w:sz w:val="19"/>
        </w:rPr>
        <w:t>第一条　劳动者与用人单位之间发生的下列纠纷，属于劳动争议，当事人不服劳动争议仲裁机构作出的裁决，依法提起诉讼的，人民法院应予受理：</w:t>
      </w:r>
      <w:r>
        <w:rPr>
          <w:sz w:val="19"/>
        </w:rPr>
        <w:br/>
      </w:r>
      <w:r>
        <w:rPr>
          <w:sz w:val="19"/>
        </w:rPr>
        <w:t>（一）劳动者与用人单位在履行劳动合同过程中发生的纠纷；</w:t>
      </w:r>
      <w:r>
        <w:rPr>
          <w:sz w:val="19"/>
        </w:rPr>
        <w:br/>
      </w:r>
      <w:r>
        <w:rPr>
          <w:sz w:val="19"/>
        </w:rPr>
        <w:t>（二）劳动者与用人单位之间没有订立书面劳动合同，但已形成劳动关系后发生的纠纷；</w:t>
      </w:r>
      <w:r>
        <w:rPr>
          <w:sz w:val="19"/>
        </w:rPr>
        <w:br/>
      </w:r>
      <w:r>
        <w:rPr>
          <w:sz w:val="19"/>
        </w:rPr>
        <w:t>（三）劳动者与用人单位因劳动关系是否已经解除或者终止，以及应否支付解除或者终止劳动关系经济补偿金发生的纠纷；</w:t>
      </w:r>
      <w:r>
        <w:rPr>
          <w:sz w:val="19"/>
        </w:rPr>
        <w:br/>
      </w:r>
      <w:r>
        <w:rPr>
          <w:sz w:val="19"/>
        </w:rPr>
        <w:t>（四）劳动者与用人单位解除或者终止劳动关系后，请求用人单位返还其收取的劳动合同定金、保证金、抵押金、抵押物发生的纠纷，或者办理劳动者的人事档案、社会保险关系等移转手续发生的纠纷；</w:t>
      </w:r>
      <w:r>
        <w:rPr>
          <w:sz w:val="19"/>
        </w:rPr>
        <w:br/>
      </w:r>
      <w:r>
        <w:rPr>
          <w:sz w:val="19"/>
        </w:rPr>
        <w:t>（五）劳动者以用人单位未为其办理社会保险手续，且社会保险经办机构不能补办导致其无法享受社会保险待遇为由，要求用人单位赔偿损失发生的纠纷；</w:t>
      </w:r>
      <w:r>
        <w:rPr>
          <w:sz w:val="19"/>
        </w:rPr>
        <w:br/>
      </w:r>
      <w:r>
        <w:rPr>
          <w:sz w:val="19"/>
        </w:rPr>
        <w:t>（六）劳动者退休后，与尚未参加社会保险统筹的原用人单位因追索养老金、医疗费、工伤保险待遇和其他社会保险待遇而发生的纠纷；</w:t>
      </w:r>
      <w:r>
        <w:rPr>
          <w:sz w:val="19"/>
        </w:rPr>
        <w:br/>
      </w:r>
      <w:r>
        <w:rPr>
          <w:sz w:val="19"/>
        </w:rPr>
        <w:t>（七）劳动者因为工伤、职业病，请求用人单位依法给予工伤保险待遇发生的纠纷；</w:t>
      </w:r>
      <w:r>
        <w:rPr>
          <w:sz w:val="19"/>
        </w:rPr>
        <w:br/>
      </w:r>
      <w:r>
        <w:rPr>
          <w:sz w:val="19"/>
        </w:rPr>
        <w:t>（八）劳动者依据劳动合同法第八十五条规定，要求用人单位支付加付赔偿金发生的纠纷；</w:t>
      </w:r>
      <w:r>
        <w:rPr>
          <w:sz w:val="19"/>
        </w:rPr>
        <w:br/>
      </w:r>
      <w:r>
        <w:rPr>
          <w:sz w:val="19"/>
        </w:rPr>
        <w:t>（九）因企业自主进行改制发生的纠纷。</w:t>
      </w:r>
    </w:p>
    <w:p>
      <w:pPr>
        <w:keepNext/>
        <w:spacing w:line="288" w:lineRule="auto" w:after="80"/>
      </w:pPr>
      <w:r>
        <w:rPr>
          <w:b/>
          <w:sz w:val="19"/>
        </w:rPr>
        <w:t xml:space="preserve">适用边界  </w:t>
      </w:r>
      <w:r>
        <w:rPr>
          <w:sz w:val="19"/>
        </w:rPr>
        <w:t>第五项未办理手续且不能补办、无法享受待遇的条件不能省略，不自动覆盖已参保迟缴。</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https://www.court.gov.cn/fabu/xiangqing/282121.html</w:t>
        </w:r>
      </w:hyperlink>
    </w:p>
    <w:p>
      <w:pPr>
        <w:pStyle w:val="Heading2"/>
        <w:keepNext/>
      </w:pPr>
      <w:r>
        <w:t>LCL-007  中华人民共和国劳动合同法</w:t>
      </w:r>
    </w:p>
    <w:p>
      <w:pPr>
        <w:keepNext/>
        <w:spacing w:line="288" w:lineRule="auto" w:after="80"/>
      </w:pPr>
      <w:r>
        <w:rPr>
          <w:color w:val="71847D"/>
          <w:sz w:val="19"/>
        </w:rPr>
        <w:t>法律条文 · 第七条</w:t>
      </w:r>
    </w:p>
    <w:p>
      <w:pPr>
        <w:keepNext/>
        <w:spacing w:line="288" w:lineRule="auto" w:after="80"/>
      </w:pPr>
      <w:r>
        <w:rPr>
          <w:sz w:val="19"/>
        </w:rPr>
        <w:t>第七条　用人单位自用工之日起即与劳动者建立劳动关系。用人单位应当建立职工名册备查。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O008-reasoning  工程转包给个人，未建立劳动关系仍承担工伤责任</w:t>
      </w:r>
    </w:p>
    <w:p>
      <w:pPr>
        <w:keepNext/>
        <w:spacing w:line="288" w:lineRule="auto" w:after="80"/>
      </w:pPr>
      <w:r>
        <w:rPr>
          <w:color w:val="71847D"/>
          <w:sz w:val="19"/>
        </w:rPr>
        <w:t>案例参考 · 案例一 · 认定理由</w:t>
      </w:r>
    </w:p>
    <w:p>
      <w:pPr>
        <w:keepNext/>
        <w:spacing w:line="288" w:lineRule="auto" w:after="80"/>
      </w:pPr>
      <w:r>
        <w:rPr>
          <w:sz w:val="19"/>
        </w:rPr>
        <w:t>【官方发布案例的核对摘要，非完整裁判文书】法院认为，在违法转包给个人等法定情形中，工伤保险责任不必以劳动关系为前提；承包单位未缴工伤保险，应支付相应待遇。</w:t>
      </w:r>
    </w:p>
    <w:p>
      <w:pPr>
        <w:keepNext/>
        <w:spacing w:line="288" w:lineRule="auto" w:after="80"/>
      </w:pPr>
      <w:r>
        <w:rPr>
          <w:b/>
          <w:sz w:val="19"/>
        </w:rPr>
        <w:t xml:space="preserve">适用边界  </w:t>
      </w:r>
      <w:r>
        <w:rPr>
          <w:sz w:val="19"/>
        </w:rPr>
        <w:t>适用于该类转包及已认定工伤的事实；不能推出任何没有劳动关系的意外都由公司承担工伤责任。</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5">
        <w:r>
          <w:rPr>
            <w:color w:val="287B65"/>
          </w:rPr>
          <w:t>https://www.court.gov.cn/zixun/xiangqing/472681.html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fabu/xiangqing/282121.html" TargetMode="External"/><Relationship Id="rId15" Type="http://schemas.openxmlformats.org/officeDocument/2006/relationships/hyperlink" Target="https://www.court.gov.cn/zixun/xiangqing/47268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