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真实案例-故意拒签与双倍工资</w:t>
      </w:r>
    </w:p>
    <w:p>
      <w:r>
        <w:rPr>
          <w:color w:val="71847D"/>
        </w:rPr>
        <w:t>第 1 版  |  生成时间：2026-10-06 21:05</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入职后长期未订立书面劳动合同，二倍工资差额主张存在时效与计算期间风险；解除环节材料缺失，是否构成违法解除无法判断，最高可主张二倍赔偿金但不当然成立。相关判断须核对适用条件，不构成违法认定，也不保证获赔。</w:t>
      </w:r>
    </w:p>
    <w:p>
      <w:r>
        <w:rPr>
          <w:b/>
        </w:rPr>
        <w:t xml:space="preserve">概览依据：  </w:t>
      </w:r>
      <w:r>
        <w:rPr>
          <w:color w:val="71847D"/>
        </w:rPr>
        <w:t>K003、LCL-082、SUP-L-arbitration-27、SUP-A02、LCL-048、LCL-087、LCL-047</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入职后长期未订立书面劳动合同，二倍工资差额主张存在时效与计算期间风险</w:t>
            </w:r>
          </w:p>
        </w:tc>
        <w:tc>
          <w:tcPr>
            <w:tcW w:type="dxa" w:w="5443"/>
          </w:tcPr>
          <w:p>
            <w:pPr>
              <w:spacing w:line="288" w:lineRule="auto" w:after="140" w:before="140"/>
            </w:pPr>
            <w:r>
              <w:rPr>
                <w:sz w:val="19"/>
              </w:rPr>
              <w:t>先确认仲裁时效：梳理2022年8月2日之后是否曾向公司主张过权利、申请过调解/仲裁，或公司是否曾同意履行，这些可能构成时效中断（需留存聊天记录、邮件、书面催告、快递回执等）。</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解除环节材料缺失，是否构成违法解除无法判断，最高可主张二倍赔偿金但不当然成立</w:t>
            </w:r>
          </w:p>
        </w:tc>
        <w:tc>
          <w:tcPr>
            <w:tcW w:type="dxa" w:w="5443"/>
          </w:tcPr>
          <w:p>
            <w:pPr>
              <w:spacing w:line="288" w:lineRule="auto" w:after="140" w:before="140"/>
            </w:pPr>
            <w:r>
              <w:rPr>
                <w:sz w:val="19"/>
              </w:rPr>
              <w:t>查找并固定解除相关文件：解除劳动合同通知书、离职证明、辞职信、谈话录音、微信/邮件通知、钉钉或企业微信的离职流程记录。</w:t>
            </w:r>
          </w:p>
        </w:tc>
      </w:tr>
    </w:tbl>
    <w:p>
      <w:pPr>
        <w:pStyle w:val="Heading1"/>
      </w:pPr>
      <w:r>
        <w:t>02  风险详情</w:t>
      </w:r>
    </w:p>
    <w:p>
      <w:pPr>
        <w:pStyle w:val="Heading2"/>
        <w:keepNext/>
      </w:pPr>
      <w:r>
        <w:rPr>
          <w:color w:val="B78224"/>
        </w:rPr>
        <w:t>01  入职后长期未订立书面劳动合同，二倍工资差额主张存在时效与计算期间风险  ·  需关注</w:t>
      </w:r>
    </w:p>
    <w:p>
      <w:pPr>
        <w:keepNext/>
        <w:shd w:fill="F3F6F5"/>
      </w:pPr>
      <w:r>
        <w:rPr>
          <w:b/>
        </w:rPr>
        <w:t xml:space="preserve">材料原文  </w:t>
      </w:r>
      <w:r>
        <w:t>公司未与员工订立书面劳动合同。</w:t>
      </w:r>
    </w:p>
    <w:p>
      <w:pPr>
        <w:keepNext/>
      </w:pPr>
      <w:r>
        <w:rPr>
          <w:b/>
        </w:rPr>
        <w:t xml:space="preserve">原文位置  </w:t>
      </w:r>
      <w:r>
        <w:rPr>
          <w:color w:val="71847D"/>
        </w:rPr>
        <w:t>refused-contract-初始摘录.pdf · 第1页</w:t>
      </w:r>
    </w:p>
    <w:p>
      <w:pPr>
        <w:keepNext/>
      </w:pPr>
      <w:r>
        <w:rPr>
          <w:b/>
        </w:rPr>
        <w:t xml:space="preserve">风险说明  </w:t>
      </w:r>
      <w:r>
        <w:t>材料明确记载“公司未与员工订立书面劳动合同”，用工自2021年11月3日开始。依《劳动合同法》第十条，应自用工之日起一个月内订立书面劳动合同；依第八十二条，自用工之日起超过一个月不满一年未订立书面劳动合同的，应向劳动者每月支付二倍工资。就本材料而言，2021年12月3日至2022年8月2日期间在表面上落入该条调整范围，存在主张二倍工资差额的空间。但两点需要特别提醒：一是该条适用需核对是否存在劳动者拒签、非全日制等例外，材料未提供未签合同的原因和双方签约沟通；二是二倍工资差额在多数地区被作为非劳动报酬性质的赔偿处理，适用《劳动争议调解仲裁法》第二十七条一年仲裁时效（自知道或应当知道权利被侵害之日起算），劳动关系于2022年8月2日终止，距今时间跨度较长，是否已过时效、是否存在中断或中止事由，是本案能否获支持的关键。此外，月工资15000元的具体构成、实发数额和发放记录缺失，二倍工资差额的计算基数也需以证据确定。</w:t>
      </w:r>
    </w:p>
    <w:p>
      <w:pPr>
        <w:keepNext/>
      </w:pPr>
      <w:r>
        <w:rPr>
          <w:b/>
        </w:rPr>
        <w:t xml:space="preserve">分析依据  </w:t>
      </w:r>
      <w:r>
        <w:t>K003 · 中华人民共和国劳动合同法 · 第十条</w:t>
      </w:r>
    </w:p>
    <w:p>
      <w:pPr>
        <w:keepNext/>
      </w:pPr>
      <w:r>
        <w:rPr>
          <w:b/>
        </w:rPr>
        <w:t xml:space="preserve">分析依据  </w:t>
      </w:r>
      <w:r>
        <w:t>LCL-082 · 中华人民共和国劳动合同法 · 第八十二条</w:t>
      </w:r>
    </w:p>
    <w:p>
      <w:pPr>
        <w:keepNext/>
      </w:pPr>
      <w:r>
        <w:rPr>
          <w:b/>
        </w:rPr>
        <w:t xml:space="preserve">分析依据  </w:t>
      </w:r>
      <w:r>
        <w:t>SUP-L-arbitration-27 · 中华人民共和国劳动争议调解仲裁法 · 第二十七条</w:t>
      </w:r>
    </w:p>
    <w:p>
      <w:pPr>
        <w:keepNext/>
      </w:pPr>
      <w:r>
        <w:rPr>
          <w:b/>
        </w:rPr>
        <w:t xml:space="preserve">分析依据  </w:t>
      </w:r>
      <w:r>
        <w:t>SUP-A02 · 不签合同或不交社保 · 维权行动卡</w:t>
      </w:r>
    </w:p>
    <w:p>
      <w:pPr>
        <w:keepNext/>
      </w:pPr>
      <w:r>
        <w:rPr>
          <w:color w:val="287B65"/>
        </w:rPr>
        <w:t>建议行动</w:t>
      </w:r>
    </w:p>
    <w:p>
      <w:pPr>
        <w:pStyle w:val="ListBullet"/>
        <w:keepNext/>
      </w:pPr>
      <w:r>
        <w:t>先确认仲裁时效：梳理2022年8月2日之后是否曾向公司主张过权利、申请过调解/仲裁，或公司是否曾同意履行，这些可能构成时效中断（需留存聊天记录、邮件、书面催告、快递回执等）。</w:t>
      </w:r>
    </w:p>
    <w:p>
      <w:pPr>
        <w:pStyle w:val="ListBullet"/>
        <w:keepNext/>
      </w:pPr>
      <w:r>
        <w:t>收集并固定用工证据类别：工资银行流水或转账记录、工资条、考勤记录、工作安排的微信/邮件、名片、工牌、同事证言、社保或个税缴纳记录，用于证明劳动关系存续期间及工资标准。</w:t>
      </w:r>
    </w:p>
    <w:p>
      <w:pPr>
        <w:pStyle w:val="ListBullet"/>
        <w:keepNext/>
      </w:pPr>
      <w:r>
        <w:t>核实是否存在劳动者拒签情形：调取是否有书面签约通知、邮件或聊天记录；若公司曾要求签约而劳动者拒绝，可能影响二倍工资主张。</w:t>
      </w:r>
    </w:p>
    <w:p>
      <w:pPr>
        <w:pStyle w:val="ListBullet"/>
        <w:keepNext/>
      </w:pPr>
      <w:r>
        <w:t>确认管辖后尽快行动：劳动争议由劳动合同履行地或用人单位所在地的劳动人事争议仲裁委员会管辖；时效风险较高时，宜先行申请仲裁以固定时效节点，再补充证据。</w:t>
      </w:r>
    </w:p>
    <w:p>
      <w:pPr>
        <w:pStyle w:val="ListBullet"/>
        <w:keepNext w:val="0"/>
      </w:pPr>
      <w:r>
        <w:t>如当地对二倍工资时效起算有特殊口径（如按逐月分别起算或按月计算），建议向当地劳动人事争议仲裁院或法律援助/工会法律服务机构咨询核对。</w:t>
      </w:r>
    </w:p>
    <w:p>
      <w:pPr>
        <w:pStyle w:val="Heading2"/>
        <w:keepNext/>
      </w:pPr>
      <w:r>
        <w:rPr>
          <w:color w:val="69798B"/>
        </w:rPr>
        <w:t>02  解除环节材料缺失，是否构成违法解除无法判断，最高可主张二倍赔偿金但不当然成立  ·  待核实</w:t>
      </w:r>
    </w:p>
    <w:p>
      <w:pPr>
        <w:keepNext/>
        <w:shd w:fill="F3F6F5"/>
      </w:pPr>
      <w:r>
        <w:rPr>
          <w:b/>
        </w:rPr>
        <w:t xml:space="preserve">材料原文  </w:t>
      </w:r>
      <w:r>
        <w:t>2022年8月2日解除劳动关系。</w:t>
      </w:r>
    </w:p>
    <w:p>
      <w:pPr>
        <w:keepNext/>
      </w:pPr>
      <w:r>
        <w:rPr>
          <w:b/>
        </w:rPr>
        <w:t xml:space="preserve">原文位置  </w:t>
      </w:r>
      <w:r>
        <w:rPr>
          <w:color w:val="71847D"/>
        </w:rPr>
        <w:t>refused-contract-初始摘录.pdf · 第1页</w:t>
      </w:r>
    </w:p>
    <w:p>
      <w:pPr>
        <w:keepNext/>
      </w:pPr>
      <w:r>
        <w:rPr>
          <w:b/>
        </w:rPr>
        <w:t xml:space="preserve">风险说明  </w:t>
      </w:r>
      <w:r>
        <w:t>材料仅记载“2022年8月2日解除劳动关系”，未说明解除由谁提出、以何种理由作出、是否履行通知或协商程序、是否出具解除证明。依《劳动合同法》第四十八条、第八十七条，只有在用人单位违反本法规定解除或终止劳动合同时，劳动者不要求继续履行或已不能继续履行，才由用人单位按第四十七条标准的二倍支付赔偿金；若属劳动者主动辞职、协商一致解除（且由用人单位提出需付经济补偿）或其他合法情形，则不适用第八十七条。因此，现有材料不足以支持或不支持违法解除赔偿金的主张，需以解除主体与理由为核心补充证据后再判断。</w:t>
      </w:r>
    </w:p>
    <w:p>
      <w:pPr>
        <w:keepNext/>
      </w:pPr>
      <w:r>
        <w:rPr>
          <w:b/>
        </w:rPr>
        <w:t xml:space="preserve">分析依据  </w:t>
      </w:r>
      <w:r>
        <w:t>LCL-048 · 中华人民共和国劳动合同法 · 第四十八条</w:t>
      </w:r>
    </w:p>
    <w:p>
      <w:pPr>
        <w:keepNext/>
      </w:pPr>
      <w:r>
        <w:rPr>
          <w:b/>
        </w:rPr>
        <w:t xml:space="preserve">分析依据  </w:t>
      </w:r>
      <w:r>
        <w:t>LCL-087 · 中华人民共和国劳动合同法 · 第八十七条</w:t>
      </w:r>
    </w:p>
    <w:p>
      <w:pPr>
        <w:keepNext/>
      </w:pPr>
      <w:r>
        <w:rPr>
          <w:b/>
        </w:rPr>
        <w:t xml:space="preserve">分析依据  </w:t>
      </w:r>
      <w:r>
        <w:t>LCL-047 · 中华人民共和国劳动合同法 · 第四十七条</w:t>
      </w:r>
    </w:p>
    <w:p>
      <w:pPr>
        <w:keepNext/>
      </w:pPr>
      <w:r>
        <w:rPr>
          <w:color w:val="287B65"/>
        </w:rPr>
        <w:t>建议行动</w:t>
      </w:r>
    </w:p>
    <w:p>
      <w:pPr>
        <w:pStyle w:val="ListBullet"/>
        <w:keepNext/>
      </w:pPr>
      <w:r>
        <w:t>查找并固定解除相关文件：解除劳动合同通知书、离职证明、辞职信、谈话录音、微信/邮件通知、钉钉或企业微信的离职流程记录。</w:t>
      </w:r>
    </w:p>
    <w:p>
      <w:pPr>
        <w:pStyle w:val="ListBullet"/>
        <w:keepNext/>
      </w:pPr>
      <w:r>
        <w:t>确认解除由哪一方提出：若是公司单方通知，保留通知形式与送达时间；若已签署离职文件，注意其中对解除原因的表述（如“个人原因辞职”“协商一致”），该表述会直接影响后续主张方向。</w:t>
      </w:r>
    </w:p>
    <w:p>
      <w:pPr>
        <w:pStyle w:val="ListBullet"/>
        <w:keepNext/>
      </w:pPr>
      <w:r>
        <w:t>核对解除理由与程序：如公司以“不符合录用条件”“严重违纪”等为由解除，需其举证事实与制度依据；如未载明理由，可在仲裁中要求其举证。</w:t>
      </w:r>
    </w:p>
    <w:p>
      <w:pPr>
        <w:pStyle w:val="ListBullet"/>
        <w:keepNext/>
      </w:pPr>
      <w:r>
        <w:t>注意不要仅凭一句“已解除”就按二倍赔偿金计算预期金额，赔偿金是否成立取决于解除性质的查明。</w:t>
      </w:r>
    </w:p>
    <w:p>
      <w:pPr>
        <w:pStyle w:val="ListBullet"/>
        <w:keepNext w:val="0"/>
      </w:pPr>
      <w:r>
        <w:t>若涉及继续履行的意愿，也可一并考虑；但需评估劳动关系是否已不能继续履行。</w:t>
      </w:r>
    </w:p>
    <w:p>
      <w:pPr>
        <w:pStyle w:val="Heading1"/>
      </w:pPr>
      <w:r>
        <w:t>03  待核实事项与分析局限</w:t>
      </w:r>
    </w:p>
    <w:p>
      <w:pPr>
        <w:pStyle w:val="ListBullet"/>
      </w:pPr>
      <w:r>
        <w:t>材料明确为“摘录（非合同原件）”，且不含裁判结果和法院说理，只能作为间接证据，其证明力弱于劳动合同、工资发放凭证、考勤记录等原件；本报告未核实任何原始文件或第三方记录。</w:t>
      </w:r>
    </w:p>
    <w:p>
      <w:pPr>
        <w:pStyle w:val="ListBullet"/>
      </w:pPr>
      <w:r>
        <w:t>未提供未订立书面劳动合同的原因（是否为劳动者拒签、是否属非全日制等例外），因此无法确定第八十二条是否完全适用。</w:t>
      </w:r>
    </w:p>
    <w:p>
      <w:pPr>
        <w:pStyle w:val="ListBullet"/>
      </w:pPr>
      <w:r>
        <w:t>未提供双方签约沟通记录，无法判断是否存在公司要求签约而劳动者拒绝等可能影响二倍工资主张的情形。</w:t>
      </w:r>
    </w:p>
    <w:p>
      <w:pPr>
        <w:pStyle w:val="ListBullet"/>
      </w:pPr>
      <w:r>
        <w:t>未提供完整解除材料（解除通知、解除理由、程序文件、离职证明等），无法判断解除性质，故未对违法解除赔偿金作出判断。</w:t>
      </w:r>
    </w:p>
    <w:p>
      <w:pPr>
        <w:pStyle w:val="ListBullet"/>
      </w:pPr>
      <w:r>
        <w:t>劳动仲裁时效为一年，劳动关系已于2022年8月2日终止，至本报告时点时间跨度较长；材料未显示任何时效中断、中止或曾主张权利的事实，时效是否已过只能由仲裁机构结合证据认定。</w:t>
      </w:r>
    </w:p>
    <w:p>
      <w:pPr>
        <w:pStyle w:val="ListBullet"/>
      </w:pPr>
      <w:r>
        <w:t>月工资15000元的具体构成、是否高于当地上年度职工月平均工资三倍（涉及经济补偿封顶规则）以及实际发放情况均无材料，无法测算任何金额。</w:t>
      </w:r>
    </w:p>
    <w:p>
      <w:pPr>
        <w:pStyle w:val="ListBullet"/>
      </w:pPr>
      <w:r>
        <w:t>劳动合同法第十七条所列必备条款（工作内容、工作地点、工作时间、劳动报酬、社会保险等）在材料中均无对应记载，无法据此判断是否存在其他违反约定的情形。</w:t>
      </w:r>
    </w:p>
    <w:p>
      <w:pPr>
        <w:pStyle w:val="ListBullet"/>
      </w:pPr>
      <w:r>
        <w:t>社保缴纳情况完全无材料，本报告仅提出核查方向，未认定存在未缴事实，也未评估任何社保待遇损失。</w:t>
      </w:r>
    </w:p>
    <w:p>
      <w:pPr>
        <w:pStyle w:val="ListBullet"/>
      </w:pPr>
      <w:r>
        <w:t>如需引用案例作参考，知识库内相关案例均为脱敏摘要且部分未完成法院官方来源核验，仅具个案参考价值，不构成裁判依据。</w:t>
      </w:r>
    </w:p>
    <w:p>
      <w:pPr>
        <w:pStyle w:val="ListBullet"/>
      </w:pPr>
      <w:r>
        <w:t>本报告仅基于上述单一材料作出，未获取原始合同、工资凭证、考勤及解除文件，也未核验企业资质或任何官方登记信息；我不是法院或仲裁机构，无法对请求能否获支持作出结论，不保证任何赔偿结果。</w:t>
      </w:r>
    </w:p>
    <w:p>
      <w:pPr>
        <w:pStyle w:val="Heading1"/>
      </w:pPr>
      <w:r>
        <w:t>04  依据与来源</w:t>
      </w:r>
    </w:p>
    <w:p>
      <w:r>
        <w:rPr>
          <w:color w:val="71847D"/>
        </w:rPr>
        <w:t>法条、风险提示、指南及案例分别标注；案例结论只用于个案参考。</w:t>
      </w:r>
    </w:p>
    <w:p>
      <w:pPr>
        <w:pStyle w:val="Heading2"/>
        <w:keepNext/>
      </w:pPr>
      <w:r>
        <w:t>K003  中华人民共和国劳动合同法</w:t>
      </w:r>
    </w:p>
    <w:p>
      <w:pPr>
        <w:keepNext/>
        <w:spacing w:line="288" w:lineRule="auto" w:after="80"/>
      </w:pPr>
      <w:r>
        <w:rPr>
          <w:color w:val="71847D"/>
          <w:sz w:val="19"/>
        </w:rPr>
        <w:t>法律条文 · 第十条</w:t>
      </w:r>
    </w:p>
    <w:p>
      <w:pPr>
        <w:keepNext/>
        <w:spacing w:line="288" w:lineRule="auto" w:after="80"/>
      </w:pPr>
      <w:r>
        <w:rPr>
          <w:sz w:val="19"/>
        </w:rPr>
        <w:t>第十条　建立劳动关系，应当订立书面劳动合同。</w:t>
      </w:r>
      <w:r>
        <w:rPr>
          <w:sz w:val="19"/>
        </w:rPr>
        <w:br/>
      </w:r>
      <w:r>
        <w:rPr>
          <w:sz w:val="19"/>
        </w:rPr>
        <w:t>已建立劳动关系，未同时订立书面劳动合同的，应当自用工之日起一个月内订立书面劳动合同。</w:t>
      </w:r>
      <w:r>
        <w:rPr>
          <w:sz w:val="19"/>
        </w:rPr>
        <w:br/>
      </w:r>
      <w:r>
        <w:rPr>
          <w:sz w:val="19"/>
        </w:rPr>
        <w:t>用人单位与劳动者在用工前订立劳动合同的，劳动关系自用工之日起建立。</w:t>
      </w:r>
    </w:p>
    <w:p>
      <w:pPr>
        <w:keepNext/>
        <w:spacing w:line="288" w:lineRule="auto" w:after="80"/>
      </w:pPr>
      <w:r>
        <w:rPr>
          <w:b/>
          <w:sz w:val="19"/>
        </w:rPr>
        <w:t xml:space="preserve">适用边界  </w:t>
      </w:r>
      <w:r>
        <w:rPr>
          <w:sz w:val="19"/>
        </w:rPr>
        <w:t>培训协议不自动等同劳动合同；先核实实际用工及主体。</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LCL-082  中华人民共和国劳动合同法</w:t>
      </w:r>
    </w:p>
    <w:p>
      <w:pPr>
        <w:keepNext/>
        <w:spacing w:line="288" w:lineRule="auto" w:after="80"/>
      </w:pPr>
      <w:r>
        <w:rPr>
          <w:color w:val="71847D"/>
          <w:sz w:val="19"/>
        </w:rPr>
        <w:t>法律条文 · 第八十二条</w:t>
      </w:r>
    </w:p>
    <w:p>
      <w:pPr>
        <w:keepNext/>
        <w:spacing w:line="288" w:lineRule="auto" w:after="80"/>
      </w:pPr>
      <w:r>
        <w:rPr>
          <w:sz w:val="19"/>
        </w:rPr>
        <w:t>第八十二条　用人单位自用工之日起超过一个月不满一年未与劳动者订立书面劳动合同的，应当向劳动者每月支付二倍的工资。</w:t>
      </w:r>
      <w:r>
        <w:rPr>
          <w:sz w:val="19"/>
        </w:rPr>
        <w:br/>
      </w:r>
      <w:r>
        <w:rPr>
          <w:sz w:val="19"/>
        </w:rPr>
        <w:t>用人单位违反本法规定不与劳动者订立无固定期限劳动合同的，自应当订立无固定期限劳动合同之日起向劳动者每月支付二倍的工资。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SUP-L-arbitration-27  中华人民共和国劳动争议调解仲裁法</w:t>
      </w:r>
    </w:p>
    <w:p>
      <w:pPr>
        <w:keepNext/>
        <w:spacing w:line="288" w:lineRule="auto" w:after="80"/>
      </w:pPr>
      <w:r>
        <w:rPr>
          <w:color w:val="71847D"/>
          <w:sz w:val="19"/>
        </w:rPr>
        <w:t>法律条文 · 第二十七条</w:t>
      </w:r>
    </w:p>
    <w:p>
      <w:pPr>
        <w:keepNext/>
        <w:spacing w:line="288" w:lineRule="auto" w:after="80"/>
      </w:pPr>
      <w:r>
        <w:rPr>
          <w:sz w:val="19"/>
        </w:rPr>
        <w:t>第二十七条 劳动争议申请仲裁的时效期间为一年。仲裁时效期间从当事人知道或者应当知道其权利被侵害之日起计算。</w:t>
      </w:r>
      <w:r>
        <w:rPr>
          <w:sz w:val="19"/>
        </w:rPr>
        <w:br/>
      </w:r>
      <w:r>
        <w:rPr>
          <w:sz w:val="19"/>
        </w:rPr>
        <w:t>前款规定的仲裁时效，因当事人一方向对方当事人主张权利，或者向有关部门请求权利救济，或者对方当事人同意履行义务而中断。从中断时起，仲裁时效期间重新计算。</w:t>
      </w:r>
      <w:r>
        <w:rPr>
          <w:sz w:val="19"/>
        </w:rPr>
        <w:br/>
      </w:r>
      <w:r>
        <w:rPr>
          <w:sz w:val="19"/>
        </w:rPr>
        <w:t>因不可抗力或者有其他正当理由，当事人不能在本条第一款规定的仲裁时效期间申请仲裁的，仲裁时效中止。从中止时效的原因消除之日起，仲裁时效期间继续计算。</w:t>
      </w:r>
      <w:r>
        <w:rPr>
          <w:sz w:val="19"/>
        </w:rPr>
        <w:br/>
      </w:r>
      <w:r>
        <w:rPr>
          <w:sz w:val="19"/>
        </w:rPr>
        <w:t>劳动关系存续期间因拖欠劳动报酬发生争议的，劳动者申请仲裁不受本条第一款规定的仲裁时效期间的限制；但是，劳动关系终止的，应当自劳动关系终止之日起一年内提出。</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https://www.beijing.gov.cn/zhengce/zhengcefagui/qtwj/201912/t20191219_1307906.html</w:t>
        </w:r>
      </w:hyperlink>
    </w:p>
    <w:p>
      <w:pPr>
        <w:pStyle w:val="Heading2"/>
        <w:keepNext/>
      </w:pPr>
      <w:r>
        <w:t>LCL-048  中华人民共和国劳动合同法</w:t>
      </w:r>
    </w:p>
    <w:p>
      <w:pPr>
        <w:keepNext/>
        <w:spacing w:line="288" w:lineRule="auto" w:after="80"/>
      </w:pPr>
      <w:r>
        <w:rPr>
          <w:color w:val="71847D"/>
          <w:sz w:val="19"/>
        </w:rPr>
        <w:t>法律条文 · 第四十八条</w:t>
      </w:r>
    </w:p>
    <w:p>
      <w:pPr>
        <w:keepNext/>
        <w:spacing w:line="288" w:lineRule="auto" w:after="80"/>
      </w:pPr>
      <w:r>
        <w:rPr>
          <w:sz w:val="19"/>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LCL-087  中华人民共和国劳动合同法</w:t>
      </w:r>
    </w:p>
    <w:p>
      <w:pPr>
        <w:keepNext/>
        <w:spacing w:line="288" w:lineRule="auto" w:after="80"/>
      </w:pPr>
      <w:r>
        <w:rPr>
          <w:color w:val="71847D"/>
          <w:sz w:val="19"/>
        </w:rPr>
        <w:t>法律条文 · 第八十七条</w:t>
      </w:r>
    </w:p>
    <w:p>
      <w:pPr>
        <w:keepNext/>
        <w:spacing w:line="288" w:lineRule="auto" w:after="80"/>
      </w:pPr>
      <w:r>
        <w:rPr>
          <w:sz w:val="19"/>
        </w:rPr>
        <w:t>第八十七条　用人单位违反本法规定解除或者终止劳动合同的，应当依照本法第四十七条规定的经济补偿标准的二倍向劳动者支付赔偿金。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LCL-047  中华人民共和国劳动合同法</w:t>
      </w:r>
    </w:p>
    <w:p>
      <w:pPr>
        <w:keepNext/>
        <w:spacing w:line="288" w:lineRule="auto" w:after="80"/>
      </w:pPr>
      <w:r>
        <w:rPr>
          <w:color w:val="71847D"/>
          <w:sz w:val="19"/>
        </w:rPr>
        <w:t>法律条文 · 第四十七条</w:t>
      </w:r>
    </w:p>
    <w:p>
      <w:pPr>
        <w:keepNext/>
        <w:spacing w:line="288" w:lineRule="auto" w:after="80"/>
      </w:pPr>
      <w:r>
        <w:rPr>
          <w:sz w:val="19"/>
        </w:rPr>
        <w:t>第四十七条　经济补偿按劳动者在本单位工作的年限，每满一年支付一个月工资的标准向劳动者支付。六个月以上不满一年的，按一年计算；不满六个月的，向劳动者支付半个月工资的经济补偿。</w:t>
      </w:r>
      <w:r>
        <w:rPr>
          <w:sz w:val="19"/>
        </w:rPr>
        <w:br/>
      </w:r>
      <w:r>
        <w:rPr>
          <w:sz w:val="19"/>
        </w:rPr>
        <w:t>劳动者月工资高于用人单位所在直辖市、设区的市级人民政府公布的本地区上年度职工月平均工资三倍的，向其支付经济补偿的标准按职工月平均工资三倍的数额支付，向其支付经济补偿的年限最高不超过十二年。</w:t>
      </w:r>
      <w:r>
        <w:rPr>
          <w:sz w:val="19"/>
        </w:rPr>
        <w:br/>
      </w:r>
      <w:r>
        <w:rPr>
          <w:sz w:val="19"/>
        </w:rPr>
        <w:t>本条所称月工资是指劳动者在劳动合同解除或者终止前十二个月的平均工资。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SUP-A02  不签合同或不交社保</w:t>
      </w:r>
    </w:p>
    <w:p>
      <w:pPr>
        <w:keepNext/>
        <w:spacing w:line="288" w:lineRule="auto" w:after="80"/>
      </w:pPr>
      <w:r>
        <w:rPr>
          <w:color w:val="71847D"/>
          <w:sz w:val="19"/>
        </w:rPr>
        <w:t>辅助资料（团队整理） · 维权行动卡</w:t>
      </w:r>
    </w:p>
    <w:p>
      <w:pPr>
        <w:keepNext/>
        <w:spacing w:line="288" w:lineRule="auto" w:after="80"/>
      </w:pPr>
      <w:r>
        <w:rPr>
          <w:sz w:val="19"/>
        </w:rPr>
        <w:t>保存实际用工、发薪和管理证据，书面要求补签及参保；合同与工资争议按条件申请仲裁，登记缴费问题向当地人社、社保及负责征缴的部门咨询处理；二倍工资须审查适用条件。仲裁可向履行地或单位所在地申请，并核对时效。</w:t>
      </w:r>
      <w:r>
        <w:rPr>
          <w:sz w:val="19"/>
        </w:rPr>
        <w:br/>
      </w:r>
      <w:r>
        <w:rPr>
          <w:sz w:val="19"/>
        </w:rPr>
        <w:t>关联依据编号：K003、LCL-082、SUP-L-social-58、SUP-L-arbitration-21、SUP-L-arbitration-27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beijing.gov.cn/zhengce/zhengcefagui/qtwj/201912/t20191219_1307906.html" TargetMode="External"/><Relationship Id="rId15"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