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21:08</w:t>
      </w:r>
    </w:p>
    <w:p>
      <w:r>
        <w:rPr>
          <w:color w:val="71847D"/>
        </w:rPr>
        <w:t>本报告依据已提供材料进行风险提示；风险等级不是违法认定或风险概率。</w:t>
      </w:r>
    </w:p>
    <w:p>
      <w:pPr>
        <w:pStyle w:val="Heading1"/>
      </w:pPr>
      <w:r>
        <w:t>01  结论与风险概览</w:t>
      </w:r>
    </w:p>
    <w:p>
      <w:pPr>
        <w:shd w:fill="EDF6F1"/>
      </w:pPr>
      <w:r>
        <w:t>在原有材料基础上，本轮补充了考勤与提醒事实：员工入职后陆续迟到15次，原因多为堵车、吃早餐、等电梯等个人事务，公司多次提醒改正但效果不佳，并声明这不仅是公司单方指控。该补充改变了原先“完全无考勤与提醒材料”的状态，但材料自述为按官方公开资料整理、非原始考勤截图。因此本报告可进一步聚焦两点：一是单位以“试用期不符合录用条件”解除是否有事实与程序支撑——关键仍在录用条件（含迟到次数与后果的对应关系）是否在入职时事先明确并告知；二是赔偿请求的成立与金额，取决于违法解除是否成立及月工资标准。试用期两个月是否在上限内，仍取决于尚未披露的合同总期限。本报告不构成违法认定，也不保证获赔或胜诉。</w:t>
      </w:r>
    </w:p>
    <w:p>
      <w:r>
        <w:rPr>
          <w:b/>
        </w:rPr>
        <w:t xml:space="preserve">概览依据：  </w:t>
      </w:r>
      <w:r>
        <w:rPr>
          <w:color w:val="71847D"/>
        </w:rPr>
        <w:t>LCL-039、LCL-021、SUP-F08、SUP-A03、LCL-048、LCL-087、LCL-047、K004、LCL-083、SUP-R022</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以“试用期不符合录用条件”解除：补充事实支持单位主张，但录用条件是否事先明确仍是核心疑点</w:t>
            </w:r>
          </w:p>
        </w:tc>
        <w:tc>
          <w:tcPr>
            <w:tcW w:type="dxa" w:w="5443"/>
          </w:tcPr>
          <w:p>
            <w:pPr>
              <w:spacing w:line="288" w:lineRule="auto" w:after="140" w:before="140"/>
            </w:pPr>
            <w:r>
              <w:rPr>
                <w:sz w:val="19"/>
              </w:rPr>
              <w:t>要求单位书面说明解除所依据的具体录用条件条款与制度出处，并出示规章制度公示、员工签收或岗位说明等告知证据</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赔偿请求是否成立及金额：取决于违法解除是否成立与月工资标准</w:t>
            </w:r>
          </w:p>
        </w:tc>
        <w:tc>
          <w:tcPr>
            <w:tcW w:type="dxa" w:w="5443"/>
          </w:tcPr>
          <w:p>
            <w:pPr>
              <w:spacing w:line="288" w:lineRule="auto" w:after="140" w:before="140"/>
            </w:pPr>
            <w:r>
              <w:rPr>
                <w:sz w:val="19"/>
              </w:rPr>
              <w:t>补齐劳动合同总期限与类型、约定试用期、工资标准与工资发放记录，以便核算第四十七条的月工资口径</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试用期两个月是否在上限内仍取决于未披露的合同总期限</w:t>
            </w:r>
          </w:p>
        </w:tc>
        <w:tc>
          <w:tcPr>
            <w:tcW w:type="dxa" w:w="5443"/>
          </w:tcPr>
          <w:p>
            <w:pPr>
              <w:spacing w:line="288" w:lineRule="auto" w:after="140" w:before="140"/>
            </w:pPr>
            <w:r>
              <w:rPr>
                <w:sz w:val="19"/>
              </w:rPr>
              <w:t>查看劳动合同载明的合同期限与类型（固定期限年限或无固定期限）</w:t>
            </w:r>
          </w:p>
        </w:tc>
      </w:tr>
    </w:tbl>
    <w:p>
      <w:r>
        <w:rPr>
          <w:b/>
        </w:rPr>
        <w:t xml:space="preserve">本版修改  </w:t>
      </w:r>
      <w:r>
        <w:t>用户补充了考勤与提醒事实（迟到15次、公司多次提醒、效果不佳，且声明非单方指控），旧报告中“未提供考勤与提醒记录”的限制已部分更新：原“录用条件与举证情况不明”一项吸收新事实，改为“补充事实支持单位主张、但录用条件是否事先明确仍为核心疑点”；赔偿请求分析结合新事实并保留为不确定；试用期上限分析未受新事实影响，继续保留。补充材料自述非原始考勤截图，故相关证据真实性仍列入limitations。所有引用改用本轮材料原句编号，未改动未被新事实触及的分析。</w:t>
      </w:r>
    </w:p>
    <w:p>
      <w:pPr>
        <w:pStyle w:val="Heading1"/>
      </w:pPr>
      <w:r>
        <w:t>02  风险详情</w:t>
      </w:r>
    </w:p>
    <w:p>
      <w:pPr>
        <w:pStyle w:val="Heading2"/>
        <w:keepNext/>
      </w:pPr>
      <w:r>
        <w:rPr>
          <w:color w:val="B78224"/>
        </w:rPr>
        <w:t>01  以“试用期不符合录用条件”解除：补充事实支持单位主张，但录用条件是否事先明确仍是核心疑点  ·  需关注</w:t>
      </w:r>
    </w:p>
    <w:p>
      <w:pPr>
        <w:keepNext/>
        <w:shd w:fill="F3F6F5"/>
      </w:pPr>
      <w:r>
        <w:rPr>
          <w:b/>
        </w:rPr>
        <w:t xml:space="preserve">材料原文  </w:t>
      </w:r>
      <w:r>
        <w:t>员工入职后陆续迟到15次。</w:t>
      </w:r>
    </w:p>
    <w:p>
      <w:pPr>
        <w:keepNext/>
      </w:pPr>
      <w:r>
        <w:rPr>
          <w:b/>
        </w:rPr>
        <w:t xml:space="preserve">原文位置  </w:t>
      </w:r>
      <w:r>
        <w:rPr>
          <w:color w:val="71847D"/>
        </w:rPr>
        <w:t>用户补充说明</w:t>
      </w:r>
    </w:p>
    <w:p>
      <w:pPr>
        <w:keepNext/>
      </w:pPr>
      <w:r>
        <w:rPr>
          <w:b/>
        </w:rPr>
        <w:t xml:space="preserve">风险说明  </w:t>
      </w:r>
      <w:r>
        <w:t>补充事实显示：员工入职后陆续迟到15次，公司多次提醒改正但效果不佳（Q0583a623fb8fb4439a6d），用户并声明这不仅是公司单方指控（Qcb6ad848b746f86cf747）。这使单位“已提醒、未改善”的主张有了对应事实描述，较原先完全无考勤与提醒材料的状态有所推进。但按劳动合同法第三十九条第一项，须“被证明”劳动者试用期不符合录用条件，举证责任在单位；第二十一条要求试用期解除限于第三十九条和第四十条第一、二项情形，并应向劳动者说明理由。关键疑点在于：录用条件（含迟到次数与后果的对应关系）是否在入职时事先明确并告知——材料中员工明确表示“入职时没有书面约定迟到次数与录用条件的关系”（Qb113db4cb23ec9b020f9），补充事实也未说明规章制度、岗位说明或口头告知中是否已将“迟到达一定次数”列为不符合录用条件的具体标准。若标准事先不明确，即便存在15次迟到，也可能影响解除的合法性；反之若有事先明确的纪律标准与提醒记录，单位主张会更充分。迟到原因多为堵车、吃早餐、等电梯等个人事务，通常不构成免除考勤纪律的法定事由。本项为需核查的风险信号，不等于已认定违法解除，也不等于单位主张必然成立。</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要求单位书面说明解除所依据的具体录用条件条款与制度出处，并出示规章制度公示、员工签收或岗位说明等告知证据</w:t>
      </w:r>
    </w:p>
    <w:p>
      <w:pPr>
        <w:pStyle w:val="ListBullet"/>
        <w:keepNext/>
      </w:pPr>
      <w:r>
        <w:t>核对劳动合同、员工手册、考勤制度中是否写入“迟到次数”与“不符合录用条件”的对应关系及其生效、告知时间</w:t>
      </w:r>
    </w:p>
    <w:p>
      <w:pPr>
        <w:pStyle w:val="ListBullet"/>
        <w:keepNext/>
      </w:pPr>
      <w:r>
        <w:t>整理公司多次提醒的具体形式与时间（微信、邮件、面谈、书面警告），保留可核验的原始载体</w:t>
      </w:r>
    </w:p>
    <w:p>
      <w:pPr>
        <w:pStyle w:val="ListBullet"/>
        <w:keepNext/>
      </w:pPr>
      <w:r>
        <w:t>补充摘录并非原始考勤截图，尽量另行取得可核验的原始考勤或打卡记录，避免仅依赖二手整理文字</w:t>
      </w:r>
    </w:p>
    <w:p>
      <w:pPr>
        <w:pStyle w:val="ListBullet"/>
        <w:keepNext/>
      </w:pPr>
      <w:r>
        <w:t>在签收辞退通知时如实注明“仅签收、不认可解除理由”，不要一概拒收书面材料</w:t>
      </w:r>
    </w:p>
    <w:p>
      <w:pPr>
        <w:pStyle w:val="ListBullet"/>
        <w:keepNext/>
      </w:pPr>
      <w:r>
        <w:t>就解除是否合法可先向当地劳动人事争议仲裁机构或人社部门咨询受理条件与时效</w:t>
      </w:r>
    </w:p>
    <w:p>
      <w:pPr>
        <w:pStyle w:val="ListBullet"/>
        <w:keepNext w:val="0"/>
      </w:pPr>
      <w:r>
        <w:t>迟到原因属个人事务，一般不能免除考勤纪律，沟通中不宜以“堵车、等电梯”作为免责主要理由</w:t>
      </w:r>
    </w:p>
    <w:p>
      <w:pPr>
        <w:pStyle w:val="Heading2"/>
        <w:keepNext/>
      </w:pPr>
      <w:r>
        <w:rPr>
          <w:color w:val="69798B"/>
        </w:rPr>
        <w:t>02  赔偿请求是否成立及金额：取决于违法解除是否成立与月工资标准  ·  待核实</w:t>
      </w:r>
    </w:p>
    <w:p>
      <w:pPr>
        <w:keepNext/>
        <w:shd w:fill="F3F6F5"/>
      </w:pPr>
      <w:r>
        <w:rPr>
          <w:b/>
        </w:rPr>
        <w:t xml:space="preserve">材料原文  </w:t>
      </w:r>
      <w:r>
        <w:t>这是补充的新事实，旧材料中未提供记录的限制已更新，请据此修订报告，重新分析赔偿请求。</w:t>
      </w:r>
    </w:p>
    <w:p>
      <w:pPr>
        <w:keepNext/>
      </w:pPr>
      <w:r>
        <w:rPr>
          <w:b/>
        </w:rPr>
        <w:t xml:space="preserve">原文位置  </w:t>
      </w:r>
      <w:r>
        <w:rPr>
          <w:color w:val="71847D"/>
        </w:rPr>
        <w:t>用户补充说明</w:t>
      </w:r>
    </w:p>
    <w:p>
      <w:pPr>
        <w:keepNext/>
      </w:pPr>
      <w:r>
        <w:rPr>
          <w:b/>
        </w:rPr>
        <w:t xml:space="preserve">风险说明  </w:t>
      </w:r>
      <w:r>
        <w:t>用户要求据此重新分析赔偿请求。赔偿取决于前提是否成立：只有在认定单位违法解除时，才可能依第四十八条、第八十七条主张继续履行或按第四十七条标准的二倍支付赔偿金。按现有时间线（2023年4月26日入职、2023年6月21日解除），工作不满六个月，第四十七条对应经济补偿为半个月工资，二倍即约一个月工资；但第四十七条的“月工资”指解除前十二个月平均工资，本案实际工作不足两个月，月工资标准与计算口径需以工资记录和工资构成核实，最终数额仍以仲裁或司法机关认定为据。若单位能证明录用条件事先明确、有考勤与提醒证据并已说明理由，则可能不构成违法解除，赔偿请求可能不成立；若因录用条件事先不明或未说明理由被认定违法，则赔偿请求方向较有利。同时提示：违法解除赔偿与违法约定试用期赔偿（第八十三条）是不同请求权，本案两个月试用期是否合法尚取决于合同总期限，不能混同主张。本项不构成胜诉或获赔保证。</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LCL-047 · 中华人民共和国劳动合同法 · 第四十七条</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补齐劳动合同总期限与类型、约定试用期、工资标准与工资发放记录，以便核算第四十七条的月工资口径</w:t>
      </w:r>
    </w:p>
    <w:p>
      <w:pPr>
        <w:pStyle w:val="ListBullet"/>
        <w:keepNext/>
      </w:pPr>
      <w:r>
        <w:t>按时间线整理入职至解除的沟通、提醒与考勤材料，标明来源与形成时间</w:t>
      </w:r>
    </w:p>
    <w:p>
      <w:pPr>
        <w:pStyle w:val="ListBullet"/>
        <w:keepNext/>
      </w:pPr>
      <w:r>
        <w:t>在仲裁时效内尽早向当地劳动人事争议仲裁机构或法律援助机构咨询，明确请求项（违法解除赔偿金与违法约定试用期赔偿分别主张）</w:t>
      </w:r>
    </w:p>
    <w:p>
      <w:pPr>
        <w:pStyle w:val="ListBullet"/>
        <w:keepNext/>
      </w:pPr>
      <w:r>
        <w:t>不轻信“必然赔一个月”或“必然不赔”的结论，以机构结合证据的认定为据</w:t>
      </w:r>
    </w:p>
    <w:p>
      <w:pPr>
        <w:pStyle w:val="ListBullet"/>
        <w:keepNext w:val="0"/>
      </w:pPr>
      <w:r>
        <w:t>如需主张，可一并核对是否存在未结清工资等其他权益，合并整理</w:t>
      </w:r>
    </w:p>
    <w:p>
      <w:pPr>
        <w:pStyle w:val="Heading2"/>
        <w:keepNext/>
      </w:pPr>
      <w:r>
        <w:rPr>
          <w:color w:val="69798B"/>
        </w:rPr>
        <w:t>03  试用期两个月是否在上限内仍取决于未披露的合同总期限  ·  待核实</w:t>
      </w:r>
    </w:p>
    <w:p>
      <w:pPr>
        <w:keepNext/>
        <w:shd w:fill="F3F6F5"/>
      </w:pPr>
      <w:r>
        <w:rPr>
          <w:b/>
        </w:rPr>
        <w:t xml:space="preserve">材料原文  </w:t>
      </w:r>
      <w:r>
        <w:t>2023年4月26日，员工入职某科技公司，从事直播运营，合同约定试用期两个月。</w:t>
      </w:r>
    </w:p>
    <w:p>
      <w:pPr>
        <w:keepNext/>
      </w:pPr>
      <w:r>
        <w:rPr>
          <w:b/>
        </w:rPr>
        <w:t xml:space="preserve">原文位置  </w:t>
      </w:r>
      <w:r>
        <w:rPr>
          <w:color w:val="71847D"/>
        </w:rPr>
        <w:t>输入文字.txt · 第1页</w:t>
      </w:r>
    </w:p>
    <w:p>
      <w:pPr>
        <w:keepNext/>
      </w:pPr>
      <w:r>
        <w:rPr>
          <w:b/>
        </w:rPr>
        <w:t xml:space="preserve">风险说明  </w:t>
      </w:r>
      <w:r>
        <w:t>补充事实只涉及考勤与提醒，仍未涉及合同期限，故该项不确定仍存。按第十九条，劳动合同期限三个月以上不满一年最长试用期一个月、一年以上不满三年最长二个月、三年以上固定期限及无固定期限最长六个月，且同一单位同一劳动者只能约定一次试用期。本案约定试用期两个月，是否合法必须结合合同总期限判断；只有违法约定且已履行，才可能涉及第八十三条的行政责任与赔偿金。本项与解除合法性属不同问题，不应混淆。</w:t>
      </w:r>
    </w:p>
    <w:p>
      <w:pPr>
        <w:keepNext/>
      </w:pPr>
      <w:r>
        <w:rPr>
          <w:b/>
        </w:rPr>
        <w:t xml:space="preserve">分析依据  </w:t>
      </w:r>
      <w:r>
        <w:t>K004 · 中华人民共和国劳动合同法 · 第十九条</w:t>
      </w:r>
    </w:p>
    <w:p>
      <w:pPr>
        <w:keepNext/>
      </w:pPr>
      <w:r>
        <w:rPr>
          <w:b/>
        </w:rPr>
        <w:t xml:space="preserve">分析依据  </w:t>
      </w:r>
      <w:r>
        <w:t>LCL-083 · 中华人民共和国劳动合同法 · 第八十三条</w:t>
      </w:r>
    </w:p>
    <w:p>
      <w:pPr>
        <w:keepNext/>
      </w:pPr>
      <w:r>
        <w:rPr>
          <w:b/>
        </w:rPr>
        <w:t xml:space="preserve">分析依据  </w:t>
      </w:r>
      <w:r>
        <w:t>SUP-R022 · 试用期超过上限 · 风险判定辅助</w:t>
      </w:r>
    </w:p>
    <w:p>
      <w:pPr>
        <w:keepNext/>
      </w:pPr>
      <w:r>
        <w:rPr>
          <w:color w:val="287B65"/>
        </w:rPr>
        <w:t>建议行动</w:t>
      </w:r>
    </w:p>
    <w:p>
      <w:pPr>
        <w:pStyle w:val="ListBullet"/>
        <w:keepNext/>
      </w:pPr>
      <w:r>
        <w:t>查看劳动合同载明的合同期限与类型（固定期限年限或无固定期限）</w:t>
      </w:r>
    </w:p>
    <w:p>
      <w:pPr>
        <w:pStyle w:val="ListBullet"/>
        <w:keepNext/>
      </w:pPr>
      <w:r>
        <w:t>核对是否为同一单位第二次约定试用期，以及是否存在仅约定试用期等情形</w:t>
      </w:r>
    </w:p>
    <w:p>
      <w:pPr>
        <w:pStyle w:val="ListBullet"/>
        <w:keepNext w:val="0"/>
      </w:pPr>
      <w:r>
        <w:t>若发现试用期超出对应上限，可向劳动行政部门反映并另行咨询赔偿金适用条件</w:t>
      </w:r>
    </w:p>
    <w:p>
      <w:pPr>
        <w:pStyle w:val="Heading1"/>
      </w:pPr>
      <w:r>
        <w:t>03  待核实事项与分析局限</w:t>
      </w:r>
    </w:p>
    <w:p>
      <w:pPr>
        <w:pStyle w:val="ListBullet"/>
      </w:pPr>
      <w:r>
        <w:t>补充的考勤与提醒摘录系“按官方公开资料整理、非原始考勤截图”，仍非原始证据，其真实性、完整性、记录方式与形成时间无法核验</w:t>
      </w:r>
    </w:p>
    <w:p>
      <w:pPr>
        <w:pStyle w:val="ListBullet"/>
      </w:pPr>
      <w:r>
        <w:t>未说明录用条件（含迟到次数与后果）是否在入职时以规章制度、岗位说明或口头方式明确并告知劳动者，单位举证与说明理由是否充分仍不明</w:t>
      </w:r>
    </w:p>
    <w:p>
      <w:pPr>
        <w:pStyle w:val="ListBullet"/>
      </w:pPr>
      <w:r>
        <w:t>未披露劳动合同总期限与合同类型，无法核对两个月试用期是否在第十九条法定上限内</w:t>
      </w:r>
    </w:p>
    <w:p>
      <w:pPr>
        <w:pStyle w:val="ListBullet"/>
      </w:pPr>
      <w:r>
        <w:t>未提供工资标准与工资发放记录，无法核算第四十七条口径下的月工资及可能的赔偿金额</w:t>
      </w:r>
    </w:p>
    <w:p>
      <w:pPr>
        <w:pStyle w:val="ListBullet"/>
      </w:pPr>
      <w:r>
        <w:t>公司全称、注册地与用工地不明，无法确认管辖机构及地方性规定的适用</w:t>
      </w:r>
    </w:p>
    <w:p>
      <w:pPr>
        <w:pStyle w:val="ListBullet"/>
      </w:pPr>
      <w:r>
        <w:t>未提供处理结果、仲裁或裁判进展，也无案号，无法了解是否已进入程序</w:t>
      </w:r>
    </w:p>
    <w:p>
      <w:pPr>
        <w:pStyle w:val="ListBullet"/>
      </w:pPr>
      <w:r>
        <w:t>本报告基于用户提供的有限文字材料与公开规范，不构成仲裁机构或法院的事实认定，不保证赔偿结果</w:t>
      </w:r>
    </w:p>
    <w:p>
      <w:pPr>
        <w:pStyle w:val="Heading1"/>
      </w:pPr>
      <w:r>
        <w:t>04  依据与来源</w:t>
      </w:r>
    </w:p>
    <w:p>
      <w:r>
        <w:rPr>
          <w:color w:val="71847D"/>
        </w:rPr>
        <w:t>法条、风险提示、指南及案例分别标注；案例结论只用于个案参考。</w:t>
      </w:r>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SUP-R022  试用期超过上限</w:t>
      </w:r>
    </w:p>
    <w:p>
      <w:pPr>
        <w:keepNext/>
        <w:spacing w:line="288" w:lineRule="auto" w:after="80"/>
      </w:pPr>
      <w:r>
        <w:rPr>
          <w:color w:val="71847D"/>
          <w:sz w:val="19"/>
        </w:rPr>
        <w:t>辅助资料（团队整理） · 风险判定辅助</w:t>
      </w:r>
    </w:p>
    <w:p>
      <w:pPr>
        <w:keepNext/>
        <w:spacing w:line="288" w:lineRule="auto" w:after="80"/>
      </w:pPr>
      <w:r>
        <w:rPr>
          <w:sz w:val="19"/>
        </w:rPr>
        <w:t>分别核对合同长度对应1、2、6个月上限，以及不得约定试用期的情形，不能只查是否超过6个月。</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