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求职风险自查报告</w:t>
      </w:r>
    </w:p>
    <w:p>
      <w:r>
        <w:rPr>
          <w:color w:val="287B65"/>
        </w:rPr>
        <w:t>真实案例-试用期辞退与迟到证据</w:t>
      </w:r>
    </w:p>
    <w:p>
      <w:r>
        <w:rPr>
          <w:color w:val="71847D"/>
        </w:rPr>
        <w:t>第 2 版  |  生成时间：2026-10-06 21:28</w:t>
      </w:r>
    </w:p>
    <w:p>
      <w:r>
        <w:rPr>
          <w:color w:val="71847D"/>
        </w:rPr>
        <w:t>本报告依据已提供材料进行风险提示；风险等级不是违法认定或风险概率。</w:t>
      </w:r>
    </w:p>
    <w:p>
      <w:pPr>
        <w:pStyle w:val="Heading1"/>
      </w:pPr>
      <w:r>
        <w:t>01  结论与风险概览</w:t>
      </w:r>
    </w:p>
    <w:p>
      <w:pPr>
        <w:shd w:fill="EDF6F1"/>
      </w:pPr>
      <w:r>
        <w:t>现有材料未显示可确认的独立异常条款或行为；具体判断和待核实事项见分析局限。</w:t>
      </w:r>
    </w:p>
    <w:p>
      <w:r>
        <w:rPr>
          <w:color w:val="71847D"/>
        </w:rPr>
        <w:t>红灯=高风险；黄灯=需关注；灰色=待核实。未检出风险不等于绿灯安全。</w:t>
      </w:r>
    </w:p>
    <w:p>
      <w:r>
        <w:drawing>
          <wp:inline xmlns:a="http://schemas.openxmlformats.org/drawingml/2006/main" xmlns:pic="http://schemas.openxmlformats.org/drawingml/2006/picture">
            <wp:extent cx="6120000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71847D"/>
        </w:rPr>
        <w:t>图中数量来自本报告已标注风险点；未发现问题不代表已证明安全。</w:t>
      </w:r>
    </w:p>
    <w:p>
      <w:r>
        <w:rPr>
          <w:b/>
        </w:rPr>
        <w:t xml:space="preserve">本版修改  </w:t>
      </w:r>
      <w:r>
        <w:t>本次修订基于用户新增的图片材料（迟到约15次、迟到原因、公司多次提醒整改），更新此前『考勤、出勤、提醒事实均未提供』的认定；因录用条件是否事先明确告知、合同总期限、考勤原始凭证等仍缺失，将试用期解除问题列为uncertain核查事项，并说明违法解除赔偿须以解除被认定违法、工作年限和工资基数为条件，不预设结果。</w:t>
      </w:r>
    </w:p>
    <w:p>
      <w:pPr>
        <w:pStyle w:val="Heading1"/>
      </w:pPr>
      <w:r>
        <w:t>02  风险详情</w:t>
      </w:r>
    </w:p>
    <w:p>
      <w:r>
        <w:t>本次未列出具体风险点。请结合分析局限理解结论。</w:t>
      </w:r>
    </w:p>
    <w:p>
      <w:pPr>
        <w:pStyle w:val="Heading1"/>
      </w:pPr>
      <w:r>
        <w:t>03  待核实事项与分析局限</w:t>
      </w:r>
    </w:p>
    <w:p>
      <w:pPr>
        <w:pStyle w:val="ListBullet"/>
      </w:pPr>
      <w:r>
        <w:t>材料明确为『劳动合同及辞退通知公开内容摘录（非文件原件）』，未提供原件，也未核验来源机构，不属于裁判文书或官方认定。</w:t>
      </w:r>
    </w:p>
    <w:p>
      <w:pPr>
        <w:pStyle w:val="ListBullet"/>
      </w:pPr>
      <w:r>
        <w:t>新增考勤与提醒材料自述为『按官方公开资料整理；非原始考勤截图』，其中迟到次数记为『1 5 次』，无法确认是15次或1次与5次，迟到事实、次数和原因系摘录概括，需以原始考勤与提醒记录核对。</w:t>
      </w:r>
    </w:p>
    <w:p>
      <w:pPr>
        <w:pStyle w:val="ListBullet"/>
      </w:pPr>
      <w:r>
        <w:t>仍未提供录用条件文本、员工手册、考核标准及告知签收记录，无法判断迟到是否属于事先明确的录用条件范围。</w:t>
      </w:r>
    </w:p>
    <w:p>
      <w:pPr>
        <w:pStyle w:val="ListBullet"/>
      </w:pPr>
      <w:r>
        <w:t>劳动合同总期限仍未披露，无法核对约定的两个月试用期是否符合《劳动合同法》第19条关于试用期上限的规定；此项作为核查事项，不单列风险。</w:t>
      </w:r>
    </w:p>
    <w:p>
      <w:pPr>
        <w:pStyle w:val="ListBullet"/>
      </w:pPr>
      <w:r>
        <w:t>解除通知的具体理由表述、送达方式，以及工资结算、社保停缴情况未披露。</w:t>
      </w:r>
    </w:p>
    <w:p>
      <w:pPr>
        <w:pStyle w:val="ListBullet"/>
      </w:pPr>
      <w:r>
        <w:t>工作起止时间为2023年4月26日至6月21日，但仲裁时效起算、是否已过时效、是否已有仲裁或诉讼、是否已有生效裁判均未披露，本报告不作时效认定。</w:t>
      </w:r>
    </w:p>
    <w:p>
      <w:pPr>
        <w:pStyle w:val="ListBullet"/>
      </w:pPr>
      <w:r>
        <w:t>本报告依据用户提供的材料摘录和规范来源作一般性分析，不是仲裁机构或法院的裁判，不构成法律意见，也不保证请求获得支持或任何赔偿数额。</w:t>
      </w:r>
    </w:p>
    <w:p>
      <w:pPr>
        <w:pStyle w:val="ListBullet"/>
      </w:pPr>
      <w:r>
        <w:t>核查与条件分析（不计为风险）：试用期以不符合录用条件解除：迟到与提醒事实补入后仍不能直接认定合法或违法。公司以『试用期不符合录用条件』为由在试用期解除劳动合同，须符合《劳动合同法》第21条、第39条第1项，并向劳动者说明理由。新增材料显示员工入职约两个月内陆续迟到约15次，原因多为堵车、吃早餐、等电梯，公司多次提醒改正但效果不佳，这些事实不再只是公司单方指控，可以作为单位关于试用期出勤表现和整改无效的论据。但另一方面，员工称入职时没有书面约定迟到次数与录用条件的关系，录用条件的书面文本、是否事先明确并告知本人、是否有制度或考核标准支撑、迟到事实的原始考勤凭证、提醒记录的形式、辞退通知的具体理由表述及劳动合同总期限均未提供。迟到约15次且经多次提醒仍不改正，在录用条件或出勤考核有事先依据、且单位能举证的情况下，可以支持单位主张；但缺少事先明确的录用条件或告知证据时，不能仅凭迟到次数认定解除合法，也不能仅凭员工称没有书面约定就直接认定解除违法。是否违法解除，需综合录用条件、告知、事实证据、提醒整改和解除程序判断，现有材料不足以得出确定结论。；建议：核对书面劳动合同全文、岗位录用条件或考核标准、员工手册及签收记录，确认是否有关于迟到、出勤的录用条件或制度条款及其告知、签收情况。；调取或申请提交2023年4月26日至6月21日的原始考勤记录、排班记录，核实迟到次数、具体日期及每次迟到的客观原因，而不是仅依据摘录中的概括表述。；收集公司多次提醒的书面形式（消息、邮件、面谈记录、整改通知）及其送达证据，确认提醒是否明确指向录用条件或出勤要求。；保存辞退通知原件（含送达时间、理由表述、盖章），签收时可真实注明仅表示收到、不认可理由，不必一概拒收；同时记录工资结算与社保停缴时间。；先核对仲裁时效起算时点及是否已超过一年，再决定是否向劳动人事争议仲裁委员会申请仲裁，并在仲裁中要求公司说明录用条件及不符合条件的具体证据。；如拟主张违法解除赔偿金，须先确认违法解除是否成立，再结合工作年限、月工资基数按《劳动合同法》第47条、第87条估算，不预设结果和金额。</w:t>
      </w:r>
    </w:p>
    <w:p>
      <w:pPr>
        <w:pStyle w:val="Heading1"/>
      </w:pPr>
      <w:r>
        <w:t>04  依据与来源</w:t>
      </w:r>
    </w:p>
    <w:p>
      <w:r>
        <w:rPr>
          <w:color w:val="71847D"/>
        </w:rPr>
        <w:t>法条、风险提示、指南及案例分别标注；案例结论只用于个案参考。</w:t>
      </w:r>
    </w:p>
    <w:p>
      <w:pPr>
        <w:pStyle w:val="Heading2"/>
        <w:keepNext/>
      </w:pPr>
      <w:r>
        <w:t>LCL-021  中华人民共和国劳动合同法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法律条文 · 第二十一条</w:t>
      </w:r>
    </w:p>
    <w:p>
      <w:pPr>
        <w:keepNext/>
        <w:spacing w:line="288" w:lineRule="auto" w:after="80"/>
      </w:pPr>
      <w:r>
        <w:rPr>
          <w:sz w:val="19"/>
        </w:rPr>
        <w:t>第二十一条　在试用期中，除劳动者有本法第三十九条和第四十条第一项、第二项规定的情形外，用人单位不得解除劳动合同。用人单位在试用期解除劳动合同的，应当向劳动者说明理由。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须核实本条适用条件、例外和用户事实，并结合关联条款及相关配套规定；不得直接凭法条认定个案违法。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2026-10-06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发布机构  </w:t>
      </w:r>
      <w:r>
        <w:rPr>
          <w:color w:val="71847D"/>
          <w:sz w:val="19"/>
        </w:rPr>
        <w:t>国家市场监督管理总局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法律数据库查询入口  </w:t>
      </w:r>
      <w:r>
        <w:rPr>
          <w:sz w:val="19"/>
        </w:rPr>
      </w:r>
      <w:hyperlink r:id="rId12">
        <w:r>
          <w:rPr>
            <w:color w:val="287B65"/>
          </w:rPr>
          <w:t>国家法律法规数据库（查询入口，未核验具体记录）</w:t>
        </w:r>
      </w:hyperlink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3">
        <w:r>
          <w:rPr>
            <w:color w:val="287B65"/>
          </w:rPr>
          <w:t>https://www.samr.gov.cn/zw/zfxxgk/fdzdgknr/bgt/art/2023/art_0abfdd261c03417b949df19d869add8d.html</w:t>
        </w:r>
      </w:hyperlink>
    </w:p>
    <w:p>
      <w:pPr>
        <w:pStyle w:val="Heading2"/>
        <w:keepNext/>
      </w:pPr>
      <w:r>
        <w:t>LCL-039  中华人民共和国劳动合同法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法律条文 · 第三十九条</w:t>
      </w:r>
    </w:p>
    <w:p>
      <w:pPr>
        <w:keepNext/>
        <w:spacing w:line="288" w:lineRule="auto" w:after="80"/>
      </w:pPr>
      <w:r>
        <w:rPr>
          <w:sz w:val="19"/>
        </w:rPr>
        <w:t>第三十九条　劳动者有下列情形之一的，用人单位可以解除劳动合同：</w:t>
      </w:r>
      <w:r>
        <w:rPr>
          <w:sz w:val="19"/>
        </w:rPr>
        <w:br/>
      </w:r>
      <w:r>
        <w:rPr>
          <w:sz w:val="19"/>
        </w:rPr>
        <w:t>（一）在试用期间被证明不符合录用条件的；</w:t>
      </w:r>
      <w:r>
        <w:rPr>
          <w:sz w:val="19"/>
        </w:rPr>
        <w:br/>
      </w:r>
      <w:r>
        <w:rPr>
          <w:sz w:val="19"/>
        </w:rPr>
        <w:t>（二）严重违反用人单位的规章制度的；</w:t>
      </w:r>
      <w:r>
        <w:rPr>
          <w:sz w:val="19"/>
        </w:rPr>
        <w:br/>
      </w:r>
      <w:r>
        <w:rPr>
          <w:sz w:val="19"/>
        </w:rPr>
        <w:t>（三）严重失职，营私舞弊，给用人单位造成重大损害的；</w:t>
      </w:r>
      <w:r>
        <w:rPr>
          <w:sz w:val="19"/>
        </w:rPr>
        <w:br/>
      </w:r>
      <w:r>
        <w:rPr>
          <w:sz w:val="19"/>
        </w:rPr>
        <w:t>（四）劳动者同时与其他用人单位建立劳动关系，对完成本单位的工作任务造成严重影响，或者经用人单位提出，拒不改正的；</w:t>
      </w:r>
      <w:r>
        <w:rPr>
          <w:sz w:val="19"/>
        </w:rPr>
        <w:br/>
      </w:r>
      <w:r>
        <w:rPr>
          <w:sz w:val="19"/>
        </w:rPr>
        <w:t>（五）因本法第二十六条第一款第一项规定的情形致使劳动合同无效的；</w:t>
      </w:r>
      <w:r>
        <w:rPr>
          <w:sz w:val="19"/>
        </w:rPr>
        <w:br/>
      </w:r>
      <w:r>
        <w:rPr>
          <w:sz w:val="19"/>
        </w:rPr>
        <w:t>（六）被依法追究刑事责任的。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须核实本条适用条件、例外和用户事实，并结合关联条款及相关配套规定；不得直接凭法条认定个案违法。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2026-10-06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发布机构  </w:t>
      </w:r>
      <w:r>
        <w:rPr>
          <w:color w:val="71847D"/>
          <w:sz w:val="19"/>
        </w:rPr>
        <w:t>国家市场监督管理总局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法律数据库查询入口  </w:t>
      </w:r>
      <w:r>
        <w:rPr>
          <w:sz w:val="19"/>
        </w:rPr>
      </w:r>
      <w:hyperlink r:id="rId12">
        <w:r>
          <w:rPr>
            <w:color w:val="287B65"/>
          </w:rPr>
          <w:t>国家法律法规数据库（查询入口，未核验具体记录）</w:t>
        </w:r>
      </w:hyperlink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3">
        <w:r>
          <w:rPr>
            <w:color w:val="287B65"/>
          </w:rPr>
          <w:t>https://www.samr.gov.cn/zw/zfxxgk/fdzdgknr/bgt/art/2023/art_0abfdd261c03417b949df19d869add8d.html</w:t>
        </w:r>
      </w:hyperlink>
    </w:p>
    <w:p>
      <w:pPr>
        <w:pStyle w:val="Heading2"/>
        <w:keepNext/>
      </w:pPr>
      <w:r>
        <w:t>LL-2018-003  中华人民共和国劳动法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法律条文 · 第三条</w:t>
      </w:r>
    </w:p>
    <w:p>
      <w:pPr>
        <w:keepNext/>
        <w:spacing w:line="288" w:lineRule="auto" w:after="80"/>
      </w:pPr>
      <w:r>
        <w:rPr>
          <w:sz w:val="19"/>
        </w:rPr>
        <w:t>第三条</w:t>
      </w:r>
      <w:r>
        <w:rPr>
          <w:sz w:val="19"/>
        </w:rPr>
        <w:br/>
      </w:r>
      <w:r>
        <w:rPr>
          <w:sz w:val="19"/>
        </w:rPr>
        <w:t>劳动者享有平等就业和选择职业的权利、取得劳动报酬的权利、休息休假的权利、获得劳动安全卫生保护的权利、接受职业技能培训的权利、享受社会保险和福利的权利、提请劳动争议处理的权利以及法律规定的其他劳动权利。</w:t>
      </w:r>
      <w:r>
        <w:rPr>
          <w:sz w:val="19"/>
        </w:rPr>
        <w:br/>
      </w:r>
      <w:r>
        <w:rPr>
          <w:sz w:val="19"/>
        </w:rPr>
        <w:t>劳动者应当完成劳动任务，提高职业技能，执行劳动安全卫生规程，遵守劳动纪律和职业道德。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须结合后续专门法律、行政法规、司法解释及工作地现行规定判断；本条完整原文不等于个案的全部适用依据。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2026-10-05</w:t>
      </w:r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4">
        <w:r>
          <w:rPr>
            <w:color w:val="287B65"/>
          </w:rPr>
          <w:t>https://rsj.weihai.gov.cn/art/2018/12/31/art_79306_2674768.html</w:t>
        </w:r>
      </w:hyperlink>
    </w:p>
    <w:p>
      <w:pPr>
        <w:pStyle w:val="Heading2"/>
        <w:keepNext/>
      </w:pPr>
      <w:r>
        <w:t>LL-2018-025  中华人民共和国劳动法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法律条文 · 第二十五条</w:t>
      </w:r>
    </w:p>
    <w:p>
      <w:pPr>
        <w:keepNext/>
        <w:spacing w:line="288" w:lineRule="auto" w:after="80"/>
      </w:pPr>
      <w:r>
        <w:rPr>
          <w:sz w:val="19"/>
        </w:rPr>
        <w:t>第二十五条</w:t>
      </w:r>
      <w:r>
        <w:rPr>
          <w:sz w:val="19"/>
        </w:rPr>
        <w:br/>
      </w:r>
      <w:r>
        <w:rPr>
          <w:sz w:val="19"/>
        </w:rPr>
        <w:t>劳动者有下列情形之一的，用人单位可以解除劳动合同：</w:t>
      </w:r>
      <w:r>
        <w:rPr>
          <w:sz w:val="19"/>
        </w:rPr>
        <w:br/>
      </w:r>
      <w:r>
        <w:rPr>
          <w:sz w:val="19"/>
        </w:rPr>
        <w:t>（一）在试用期间被证明不符合录用条件的；</w:t>
      </w:r>
      <w:r>
        <w:rPr>
          <w:sz w:val="19"/>
        </w:rPr>
        <w:br/>
      </w:r>
      <w:r>
        <w:rPr>
          <w:sz w:val="19"/>
        </w:rPr>
        <w:t>（二）严重违反劳动纪律或者用人单位规章制度的；</w:t>
      </w:r>
      <w:r>
        <w:rPr>
          <w:sz w:val="19"/>
        </w:rPr>
        <w:br/>
      </w:r>
      <w:r>
        <w:rPr>
          <w:sz w:val="19"/>
        </w:rPr>
        <w:t>（三）严重失职，营私舞弊，对用人单位利益造成重大损害的；</w:t>
      </w:r>
      <w:r>
        <w:rPr>
          <w:sz w:val="19"/>
        </w:rPr>
        <w:br/>
      </w:r>
      <w:r>
        <w:rPr>
          <w:sz w:val="19"/>
        </w:rPr>
        <w:t>（四）被依法追究刑事责任的。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须结合后续专门法律、行政法规、司法解释及工作地现行规定判断；本条完整原文不等于个案的全部适用依据。劳动合同事项还应结合劳动合同法具体规定。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2026-10-05</w:t>
      </w:r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4">
        <w:r>
          <w:rPr>
            <w:color w:val="287B65"/>
          </w:rPr>
          <w:t>https://rsj.weihai.gov.cn/art/2018/12/31/art_79306_2674768.html</w:t>
        </w:r>
      </w:hyperlink>
    </w:p>
    <w:p>
      <w:pPr>
        <w:pStyle w:val="Heading2"/>
        <w:keepNext/>
      </w:pPr>
      <w:r>
        <w:t>SUP-F08  试用期被辞退能否获得赔偿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辅助资料（团队整理） · 高频问答</w:t>
      </w:r>
    </w:p>
    <w:p>
      <w:pPr>
        <w:keepNext/>
        <w:spacing w:line="288" w:lineRule="auto" w:after="80"/>
      </w:pPr>
      <w:r>
        <w:rPr>
          <w:sz w:val="19"/>
        </w:rPr>
        <w:t>先核对解除理由、录用条件、证据及程序。试用期解除还可能适用其他法定事由，不能仅凭单位未证明不符合录用条件就一律认定违法或自动获赔2N。违法解除的救济依具体条件确定。</w:t>
      </w:r>
      <w:r>
        <w:rPr>
          <w:sz w:val="19"/>
        </w:rPr>
        <w:br/>
      </w:r>
      <w:r>
        <w:rPr>
          <w:sz w:val="19"/>
        </w:rPr>
        <w:t>关联依据编号：LCL-021、LCL-039、LCL-040、LCL-048、LCL-087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团队整理的辅助资料，不是官方规范原文；不能单独支撑风险定性。请读取关联依据。必须核对适用条件、例外、时间、地域及用户事实；不代替司法或行政认定。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2026-10-05</w:t>
      </w:r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5">
        <w:r>
          <w:rPr>
            <w:color w:val="287B65"/>
          </w:rPr>
          <w:t>https://www.dhlh.gov.cn/rsj/Web/_F0_0_28D04GIGEN3XZTQZ5FVD0YUCHG.htm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1847D"/>
        <w:sz w:val="16"/>
      </w:rPr>
      <w:t xml:space="preserve">求职风险自查报告  ·  第 </w:t>
    </w:r>
    <w:fldSimple w:instr="PAGE"/>
    <w:r>
      <w:rPr>
        <w:color w:val="71847D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287B65"/>
        <w:sz w:val="18"/>
      </w:rPr>
      <w:t>求职避坑镜  /  JOB MIRROR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line="336" w:lineRule="auto" w:after="140"/>
    </w:pPr>
    <w:rPr>
      <w:rFonts w:ascii="Microsoft YaHei" w:hAnsi="Microsoft YaHei" w:eastAsia="Microsoft YaHei"/>
      <w:color w:val="263D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87B6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87B6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D34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flk.npc.gov.cn/" TargetMode="External"/><Relationship Id="rId13" Type="http://schemas.openxmlformats.org/officeDocument/2006/relationships/hyperlink" Target="https://www.samr.gov.cn/zw/zfxxgk/fdzdgknr/bgt/art/2023/art_0abfdd261c03417b949df19d869add8d.html" TargetMode="External"/><Relationship Id="rId14" Type="http://schemas.openxmlformats.org/officeDocument/2006/relationships/hyperlink" Target="https://rsj.weihai.gov.cn/art/2018/12/31/art_79306_2674768.html" TargetMode="External"/><Relationship Id="rId15" Type="http://schemas.openxmlformats.org/officeDocument/2006/relationships/hyperlink" Target="https://www.dhlh.gov.cn/rsj/Web/_F0_0_28D04GIGEN3XZTQZ5FVD0YUCHG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求职风险自查报告</dc:title>
  <dc:subject/>
  <dc:creator>求职避坑镜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